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BC540">
      <w:pPr>
        <w:spacing w:line="360" w:lineRule="auto"/>
        <w:jc w:val="center"/>
        <w:rPr>
          <w:rFonts w:hint="eastAsia"/>
          <w:b/>
          <w:color w:val="auto"/>
          <w:sz w:val="44"/>
          <w:szCs w:val="44"/>
          <w:lang w:val="en-US" w:eastAsia="zh-CN"/>
        </w:rPr>
      </w:pPr>
    </w:p>
    <w:p w14:paraId="7864A0CE">
      <w:pPr>
        <w:spacing w:line="360" w:lineRule="auto"/>
        <w:jc w:val="center"/>
        <w:rPr>
          <w:rFonts w:ascii="Times New Roman" w:hAnsi="Times New Roman"/>
          <w:b/>
          <w:color w:val="auto"/>
          <w:sz w:val="44"/>
          <w:szCs w:val="44"/>
        </w:rPr>
      </w:pPr>
      <w:r>
        <w:rPr>
          <w:rFonts w:hint="eastAsia"/>
          <w:b/>
          <w:color w:val="auto"/>
          <w:sz w:val="44"/>
          <w:szCs w:val="44"/>
          <w:lang w:val="en-US" w:eastAsia="zh-CN"/>
        </w:rPr>
        <w:t>湖南省科技进步奖</w:t>
      </w:r>
      <w:r>
        <w:rPr>
          <w:rFonts w:ascii="Times New Roman" w:hAnsi="Times New Roman"/>
          <w:b/>
          <w:color w:val="auto"/>
          <w:sz w:val="44"/>
          <w:szCs w:val="44"/>
        </w:rPr>
        <w:t>提名</w:t>
      </w:r>
      <w:r>
        <w:rPr>
          <w:rFonts w:hint="eastAsia"/>
          <w:b/>
          <w:color w:val="auto"/>
          <w:sz w:val="44"/>
          <w:szCs w:val="44"/>
          <w:lang w:val="en-US" w:eastAsia="zh-CN"/>
        </w:rPr>
        <w:t>项目</w:t>
      </w:r>
      <w:r>
        <w:rPr>
          <w:rFonts w:ascii="Times New Roman" w:hAnsi="Times New Roman"/>
          <w:b/>
          <w:color w:val="auto"/>
          <w:sz w:val="44"/>
          <w:szCs w:val="44"/>
        </w:rPr>
        <w:t>公示内容</w:t>
      </w:r>
    </w:p>
    <w:p w14:paraId="261CEDC9">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宋体" w:cs="Times New Roman"/>
          <w:color w:val="auto"/>
          <w:sz w:val="28"/>
          <w:szCs w:val="28"/>
        </w:rPr>
      </w:pPr>
      <w:r>
        <w:rPr>
          <w:rFonts w:ascii="Times New Roman" w:hAnsi="Times New Roman" w:eastAsia="宋体" w:cs="Times New Roman"/>
          <w:b/>
          <w:bCs/>
          <w:color w:val="auto"/>
          <w:sz w:val="28"/>
          <w:szCs w:val="28"/>
        </w:rPr>
        <w:t>一、项目名称</w:t>
      </w:r>
      <w:r>
        <w:rPr>
          <w:rFonts w:ascii="Times New Roman" w:hAnsi="Times New Roman" w:eastAsia="宋体" w:cs="Times New Roman"/>
          <w:color w:val="auto"/>
          <w:sz w:val="28"/>
          <w:szCs w:val="28"/>
        </w:rPr>
        <w:t>：</w:t>
      </w:r>
      <w:r>
        <w:rPr>
          <w:rFonts w:hint="eastAsia" w:cs="Times New Roman"/>
          <w:color w:val="auto"/>
          <w:sz w:val="28"/>
          <w:szCs w:val="28"/>
          <w:lang w:val="en-US" w:eastAsia="zh-CN"/>
        </w:rPr>
        <w:t>退役动力锂电池全组份绿色回收与关键材料物理修复技术及产业化</w:t>
      </w:r>
    </w:p>
    <w:p w14:paraId="4A5F71C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宋体" w:cs="Times New Roman"/>
          <w:b/>
          <w:bCs/>
          <w:color w:val="auto"/>
          <w:sz w:val="28"/>
          <w:szCs w:val="28"/>
          <w:lang w:eastAsia="zh-CN"/>
        </w:rPr>
      </w:pPr>
      <w:r>
        <w:rPr>
          <w:rFonts w:ascii="Times New Roman" w:hAnsi="Times New Roman" w:eastAsia="宋体" w:cs="Times New Roman"/>
          <w:b/>
          <w:bCs/>
          <w:color w:val="auto"/>
          <w:sz w:val="28"/>
          <w:szCs w:val="28"/>
        </w:rPr>
        <w:t>二、提名</w:t>
      </w:r>
      <w:r>
        <w:rPr>
          <w:rFonts w:hint="eastAsia" w:cs="Times New Roman"/>
          <w:b/>
          <w:bCs/>
          <w:color w:val="auto"/>
          <w:sz w:val="28"/>
          <w:szCs w:val="28"/>
          <w:lang w:val="en-US" w:eastAsia="zh-CN"/>
        </w:rPr>
        <w:t>单位</w:t>
      </w:r>
      <w:r>
        <w:rPr>
          <w:rFonts w:ascii="Times New Roman" w:hAnsi="Times New Roman" w:eastAsia="宋体" w:cs="Times New Roman"/>
          <w:b/>
          <w:bCs/>
          <w:color w:val="auto"/>
          <w:sz w:val="28"/>
          <w:szCs w:val="28"/>
        </w:rPr>
        <w:t>：</w:t>
      </w:r>
      <w:r>
        <w:rPr>
          <w:rFonts w:hint="eastAsia" w:cs="Times New Roman"/>
          <w:color w:val="auto"/>
          <w:sz w:val="28"/>
          <w:szCs w:val="28"/>
          <w:lang w:val="en-US" w:eastAsia="zh-CN"/>
        </w:rPr>
        <w:t>中南大学</w:t>
      </w:r>
    </w:p>
    <w:p w14:paraId="516310D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s="Times New Roman"/>
          <w:b/>
          <w:bCs/>
          <w:color w:val="auto"/>
          <w:sz w:val="28"/>
          <w:szCs w:val="28"/>
          <w:lang w:val="en-US" w:eastAsia="zh-CN"/>
        </w:rPr>
      </w:pPr>
      <w:r>
        <w:rPr>
          <w:rFonts w:ascii="Times New Roman" w:hAnsi="Times New Roman" w:eastAsia="宋体" w:cs="Times New Roman"/>
          <w:b/>
          <w:bCs/>
          <w:color w:val="auto"/>
          <w:sz w:val="28"/>
          <w:szCs w:val="28"/>
        </w:rPr>
        <w:t>三、</w:t>
      </w:r>
      <w:r>
        <w:rPr>
          <w:rFonts w:hint="eastAsia" w:cs="Times New Roman"/>
          <w:b/>
          <w:bCs/>
          <w:color w:val="auto"/>
          <w:sz w:val="28"/>
          <w:szCs w:val="28"/>
          <w:lang w:val="en-US" w:eastAsia="zh-CN"/>
        </w:rPr>
        <w:t>提名等级：</w:t>
      </w:r>
      <w:r>
        <w:rPr>
          <w:rFonts w:hint="eastAsia" w:cs="Times New Roman"/>
          <w:color w:val="auto"/>
          <w:sz w:val="28"/>
          <w:szCs w:val="28"/>
          <w:lang w:val="en-US" w:eastAsia="zh-CN"/>
        </w:rPr>
        <w:t>一等奖</w:t>
      </w:r>
    </w:p>
    <w:p w14:paraId="44725664">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宋体" w:cs="Times New Roman"/>
          <w:b/>
          <w:bCs/>
          <w:color w:val="auto"/>
          <w:sz w:val="28"/>
          <w:szCs w:val="28"/>
        </w:rPr>
      </w:pPr>
      <w:r>
        <w:rPr>
          <w:rFonts w:hint="eastAsia" w:ascii="Times New Roman" w:hAnsi="Times New Roman" w:eastAsia="宋体" w:cs="Times New Roman"/>
          <w:b/>
          <w:bCs/>
          <w:color w:val="auto"/>
          <w:sz w:val="28"/>
          <w:szCs w:val="28"/>
          <w:lang w:val="en-US" w:eastAsia="zh-CN"/>
        </w:rPr>
        <w:t>四、</w:t>
      </w:r>
      <w:r>
        <w:rPr>
          <w:rFonts w:hint="eastAsia" w:ascii="Times New Roman" w:hAnsi="Times New Roman" w:eastAsia="宋体" w:cs="Times New Roman"/>
          <w:b/>
          <w:bCs/>
          <w:color w:val="auto"/>
          <w:sz w:val="28"/>
          <w:szCs w:val="28"/>
        </w:rPr>
        <w:t>主要知识产权和标准规范等目录</w:t>
      </w:r>
    </w:p>
    <w:tbl>
      <w:tblPr>
        <w:tblStyle w:val="4"/>
        <w:tblW w:w="9183"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88"/>
        <w:gridCol w:w="1260"/>
        <w:gridCol w:w="1022"/>
        <w:gridCol w:w="849"/>
        <w:gridCol w:w="929"/>
        <w:gridCol w:w="1095"/>
        <w:gridCol w:w="945"/>
        <w:gridCol w:w="975"/>
        <w:gridCol w:w="1020"/>
      </w:tblGrid>
      <w:tr w14:paraId="660190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680" w:hRule="atLeast"/>
          <w:jc w:val="center"/>
        </w:trPr>
        <w:tc>
          <w:tcPr>
            <w:tcW w:w="1088" w:type="dxa"/>
            <w:noWrap w:val="0"/>
            <w:vAlign w:val="center"/>
          </w:tcPr>
          <w:p w14:paraId="2E98A1D7">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 w:val="21"/>
                <w:szCs w:val="22"/>
                <w:highlight w:val="none"/>
              </w:rPr>
            </w:pPr>
            <w:r>
              <w:rPr>
                <w:rFonts w:ascii="Times New Roman"/>
                <w:color w:val="auto"/>
                <w:sz w:val="21"/>
                <w:szCs w:val="22"/>
                <w:highlight w:val="none"/>
              </w:rPr>
              <w:t>知识产权（标准）类别</w:t>
            </w:r>
          </w:p>
        </w:tc>
        <w:tc>
          <w:tcPr>
            <w:tcW w:w="1260" w:type="dxa"/>
            <w:noWrap w:val="0"/>
            <w:vAlign w:val="center"/>
          </w:tcPr>
          <w:p w14:paraId="0C51FB52">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 w:val="21"/>
                <w:szCs w:val="22"/>
                <w:highlight w:val="none"/>
              </w:rPr>
            </w:pPr>
            <w:r>
              <w:rPr>
                <w:rFonts w:ascii="Times New Roman"/>
                <w:color w:val="auto"/>
                <w:sz w:val="21"/>
                <w:szCs w:val="22"/>
                <w:highlight w:val="none"/>
              </w:rPr>
              <w:t>知识产权（标准）具体名称</w:t>
            </w:r>
          </w:p>
        </w:tc>
        <w:tc>
          <w:tcPr>
            <w:tcW w:w="1022" w:type="dxa"/>
            <w:noWrap w:val="0"/>
            <w:vAlign w:val="center"/>
          </w:tcPr>
          <w:p w14:paraId="7A9DF2FB">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 w:val="21"/>
                <w:szCs w:val="22"/>
                <w:highlight w:val="none"/>
              </w:rPr>
            </w:pPr>
            <w:r>
              <w:rPr>
                <w:rFonts w:ascii="Times New Roman"/>
                <w:color w:val="auto"/>
                <w:sz w:val="21"/>
                <w:szCs w:val="22"/>
                <w:highlight w:val="none"/>
              </w:rPr>
              <w:t>国家</w:t>
            </w:r>
          </w:p>
          <w:p w14:paraId="1D625749">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 w:val="21"/>
                <w:szCs w:val="22"/>
                <w:highlight w:val="none"/>
              </w:rPr>
            </w:pPr>
            <w:r>
              <w:rPr>
                <w:rFonts w:ascii="Times New Roman"/>
                <w:color w:val="auto"/>
                <w:sz w:val="21"/>
                <w:szCs w:val="22"/>
                <w:highlight w:val="none"/>
              </w:rPr>
              <w:t>（地区）</w:t>
            </w:r>
          </w:p>
        </w:tc>
        <w:tc>
          <w:tcPr>
            <w:tcW w:w="849" w:type="dxa"/>
            <w:noWrap w:val="0"/>
            <w:vAlign w:val="center"/>
          </w:tcPr>
          <w:p w14:paraId="35FB35BE">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 w:val="21"/>
                <w:szCs w:val="22"/>
                <w:highlight w:val="none"/>
              </w:rPr>
            </w:pPr>
            <w:r>
              <w:rPr>
                <w:rFonts w:ascii="Times New Roman"/>
                <w:color w:val="auto"/>
                <w:sz w:val="21"/>
                <w:szCs w:val="22"/>
                <w:highlight w:val="none"/>
              </w:rPr>
              <w:t>授权号（标准编号）</w:t>
            </w:r>
          </w:p>
        </w:tc>
        <w:tc>
          <w:tcPr>
            <w:tcW w:w="929" w:type="dxa"/>
            <w:noWrap w:val="0"/>
            <w:vAlign w:val="center"/>
          </w:tcPr>
          <w:p w14:paraId="1DC1ABF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 w:val="21"/>
                <w:szCs w:val="22"/>
                <w:highlight w:val="none"/>
              </w:rPr>
            </w:pPr>
            <w:r>
              <w:rPr>
                <w:rFonts w:ascii="Times New Roman"/>
                <w:color w:val="auto"/>
                <w:sz w:val="21"/>
                <w:szCs w:val="22"/>
                <w:highlight w:val="none"/>
              </w:rPr>
              <w:t>授权（标准发布）日期</w:t>
            </w:r>
          </w:p>
        </w:tc>
        <w:tc>
          <w:tcPr>
            <w:tcW w:w="1095" w:type="dxa"/>
            <w:noWrap w:val="0"/>
            <w:vAlign w:val="center"/>
          </w:tcPr>
          <w:p w14:paraId="4FA6E09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 w:val="21"/>
                <w:szCs w:val="22"/>
                <w:highlight w:val="none"/>
              </w:rPr>
            </w:pPr>
            <w:r>
              <w:rPr>
                <w:rFonts w:ascii="Times New Roman"/>
                <w:color w:val="auto"/>
                <w:sz w:val="21"/>
                <w:szCs w:val="22"/>
                <w:highlight w:val="none"/>
              </w:rPr>
              <w:t>证书编号</w:t>
            </w:r>
            <w:r>
              <w:rPr>
                <w:rFonts w:ascii="Times New Roman"/>
                <w:color w:val="auto"/>
                <w:sz w:val="21"/>
                <w:szCs w:val="22"/>
                <w:highlight w:val="none"/>
              </w:rPr>
              <w:br w:type="textWrapping"/>
            </w:r>
            <w:r>
              <w:rPr>
                <w:rFonts w:ascii="Times New Roman"/>
                <w:color w:val="auto"/>
                <w:sz w:val="21"/>
                <w:szCs w:val="22"/>
                <w:highlight w:val="none"/>
              </w:rPr>
              <w:t>（标准批准发布部门）</w:t>
            </w:r>
          </w:p>
        </w:tc>
        <w:tc>
          <w:tcPr>
            <w:tcW w:w="945" w:type="dxa"/>
            <w:noWrap w:val="0"/>
            <w:vAlign w:val="center"/>
          </w:tcPr>
          <w:p w14:paraId="06DC976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 w:val="21"/>
                <w:szCs w:val="22"/>
                <w:highlight w:val="none"/>
              </w:rPr>
            </w:pPr>
            <w:r>
              <w:rPr>
                <w:rFonts w:ascii="Times New Roman"/>
                <w:color w:val="auto"/>
                <w:sz w:val="21"/>
                <w:szCs w:val="22"/>
                <w:highlight w:val="none"/>
              </w:rPr>
              <w:t>权利人（标准起草单位）</w:t>
            </w:r>
          </w:p>
        </w:tc>
        <w:tc>
          <w:tcPr>
            <w:tcW w:w="975" w:type="dxa"/>
            <w:noWrap w:val="0"/>
            <w:vAlign w:val="center"/>
          </w:tcPr>
          <w:p w14:paraId="2B85B9AC">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 w:val="21"/>
                <w:szCs w:val="22"/>
                <w:highlight w:val="none"/>
              </w:rPr>
            </w:pPr>
            <w:r>
              <w:rPr>
                <w:rFonts w:ascii="Times New Roman"/>
                <w:color w:val="auto"/>
                <w:sz w:val="21"/>
                <w:szCs w:val="22"/>
                <w:highlight w:val="none"/>
              </w:rPr>
              <w:t>发明人（标准起草人）</w:t>
            </w:r>
          </w:p>
        </w:tc>
        <w:tc>
          <w:tcPr>
            <w:tcW w:w="1020" w:type="dxa"/>
            <w:noWrap w:val="0"/>
            <w:vAlign w:val="center"/>
          </w:tcPr>
          <w:p w14:paraId="25EDB536">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 w:val="21"/>
                <w:szCs w:val="22"/>
                <w:highlight w:val="none"/>
              </w:rPr>
            </w:pPr>
            <w:r>
              <w:rPr>
                <w:rFonts w:ascii="Times New Roman"/>
                <w:color w:val="auto"/>
                <w:sz w:val="21"/>
                <w:szCs w:val="22"/>
                <w:highlight w:val="none"/>
              </w:rPr>
              <w:t>发明专利（标准）有效状态</w:t>
            </w:r>
          </w:p>
        </w:tc>
      </w:tr>
      <w:tr w14:paraId="1F413F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27" w:hRule="atLeast"/>
          <w:jc w:val="center"/>
        </w:trPr>
        <w:tc>
          <w:tcPr>
            <w:tcW w:w="1088" w:type="dxa"/>
            <w:noWrap w:val="0"/>
            <w:vAlign w:val="center"/>
          </w:tcPr>
          <w:p w14:paraId="088991C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发明专利</w:t>
            </w:r>
          </w:p>
        </w:tc>
        <w:tc>
          <w:tcPr>
            <w:tcW w:w="1260" w:type="dxa"/>
            <w:noWrap w:val="0"/>
            <w:vAlign w:val="center"/>
          </w:tcPr>
          <w:p w14:paraId="4F816C6E">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color w:val="auto"/>
                <w:szCs w:val="22"/>
                <w:highlight w:val="none"/>
                <w:lang w:val="en-US"/>
              </w:rPr>
            </w:pPr>
            <w:r>
              <w:rPr>
                <w:rFonts w:hint="default" w:ascii="Times New Roman" w:hAnsi="Times New Roman" w:eastAsia="宋体" w:cs="Times New Roman"/>
                <w:color w:val="auto"/>
                <w:sz w:val="21"/>
                <w:szCs w:val="21"/>
                <w:highlight w:val="none"/>
              </w:rPr>
              <w:t xml:space="preserve">一种废旧锂离子动力电池无害化综合回收利用方法 </w:t>
            </w:r>
          </w:p>
        </w:tc>
        <w:tc>
          <w:tcPr>
            <w:tcW w:w="1022" w:type="dxa"/>
            <w:noWrap w:val="0"/>
            <w:vAlign w:val="center"/>
          </w:tcPr>
          <w:p w14:paraId="5D13EE8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中国</w:t>
            </w:r>
          </w:p>
        </w:tc>
        <w:tc>
          <w:tcPr>
            <w:tcW w:w="849" w:type="dxa"/>
            <w:noWrap w:val="0"/>
            <w:vAlign w:val="center"/>
          </w:tcPr>
          <w:p w14:paraId="28458B3D">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br w:type="textWrapping"/>
            </w:r>
            <w:r>
              <w:rPr>
                <w:rFonts w:hint="default" w:ascii="Times New Roman" w:hAnsi="Times New Roman" w:eastAsia="宋体" w:cs="Times New Roman"/>
                <w:color w:val="auto"/>
                <w:sz w:val="21"/>
                <w:szCs w:val="21"/>
                <w:highlight w:val="none"/>
              </w:rPr>
              <w:t>ZL201510845201</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6</w:t>
            </w:r>
          </w:p>
        </w:tc>
        <w:tc>
          <w:tcPr>
            <w:tcW w:w="929" w:type="dxa"/>
            <w:noWrap w:val="0"/>
            <w:vAlign w:val="center"/>
          </w:tcPr>
          <w:p w14:paraId="5CAA8AC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2018</w:t>
            </w:r>
            <w:r>
              <w:rPr>
                <w:rFonts w:hint="eastAsia" w:ascii="Times New Roman" w:cs="Times New Roman"/>
                <w:color w:val="auto"/>
                <w:sz w:val="21"/>
                <w:szCs w:val="21"/>
                <w:highlight w:val="none"/>
                <w:lang w:val="en-US" w:eastAsia="zh-CN"/>
              </w:rPr>
              <w:t>年</w:t>
            </w:r>
            <w:r>
              <w:rPr>
                <w:rFonts w:hint="default" w:ascii="Times New Roman" w:hAnsi="Times New Roman" w:eastAsia="宋体" w:cs="Times New Roman"/>
                <w:color w:val="auto"/>
                <w:sz w:val="21"/>
                <w:szCs w:val="21"/>
                <w:highlight w:val="none"/>
              </w:rPr>
              <w:t>8</w:t>
            </w:r>
            <w:r>
              <w:rPr>
                <w:rFonts w:hint="eastAsia" w:ascii="Times New Roman" w:cs="Times New Roman"/>
                <w:color w:val="auto"/>
                <w:sz w:val="21"/>
                <w:szCs w:val="21"/>
                <w:highlight w:val="none"/>
                <w:lang w:val="en-US" w:eastAsia="zh-CN"/>
              </w:rPr>
              <w:t>月</w:t>
            </w:r>
            <w:r>
              <w:rPr>
                <w:rFonts w:hint="default" w:ascii="Times New Roman" w:hAnsi="Times New Roman" w:eastAsia="宋体" w:cs="Times New Roman"/>
                <w:color w:val="auto"/>
                <w:sz w:val="21"/>
                <w:szCs w:val="21"/>
                <w:highlight w:val="none"/>
              </w:rPr>
              <w:t>14</w:t>
            </w:r>
            <w:r>
              <w:rPr>
                <w:rFonts w:hint="eastAsia" w:ascii="Times New Roman" w:cs="Times New Roman"/>
                <w:color w:val="auto"/>
                <w:sz w:val="21"/>
                <w:szCs w:val="21"/>
                <w:highlight w:val="none"/>
                <w:lang w:val="en-US" w:eastAsia="zh-CN"/>
              </w:rPr>
              <w:t>日</w:t>
            </w:r>
          </w:p>
        </w:tc>
        <w:tc>
          <w:tcPr>
            <w:tcW w:w="1095" w:type="dxa"/>
            <w:noWrap w:val="0"/>
            <w:vAlign w:val="center"/>
          </w:tcPr>
          <w:p w14:paraId="48A3C39D">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第</w:t>
            </w:r>
            <w:r>
              <w:rPr>
                <w:rFonts w:hint="default" w:ascii="Times New Roman" w:hAnsi="Times New Roman" w:eastAsia="宋体" w:cs="Times New Roman"/>
                <w:color w:val="auto"/>
                <w:sz w:val="21"/>
                <w:szCs w:val="21"/>
                <w:highlight w:val="none"/>
                <w:lang w:val="en-US" w:eastAsia="zh-CN"/>
              </w:rPr>
              <w:t>3031844</w:t>
            </w:r>
            <w:r>
              <w:rPr>
                <w:rFonts w:hint="default" w:ascii="Times New Roman" w:hAnsi="Times New Roman" w:eastAsia="宋体" w:cs="Times New Roman"/>
                <w:color w:val="auto"/>
                <w:sz w:val="21"/>
                <w:szCs w:val="21"/>
                <w:highlight w:val="none"/>
              </w:rPr>
              <w:t>号</w:t>
            </w:r>
          </w:p>
        </w:tc>
        <w:tc>
          <w:tcPr>
            <w:tcW w:w="945" w:type="dxa"/>
            <w:noWrap w:val="0"/>
            <w:vAlign w:val="center"/>
          </w:tcPr>
          <w:p w14:paraId="06C3E6E1">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湖南省正源储能材料与器件研究所</w:t>
            </w:r>
            <w:r>
              <w:rPr>
                <w:rFonts w:hint="default" w:ascii="Times New Roman" w:hAnsi="Times New Roman" w:eastAsia="宋体" w:cs="Times New Roman"/>
                <w:color w:val="auto"/>
                <w:sz w:val="21"/>
                <w:szCs w:val="21"/>
                <w:highlight w:val="none"/>
                <w:lang w:val="en-US" w:eastAsia="zh-CN"/>
              </w:rPr>
              <w:t>转移至</w:t>
            </w:r>
            <w:r>
              <w:rPr>
                <w:rFonts w:hint="default" w:ascii="Times New Roman" w:hAnsi="Times New Roman" w:eastAsia="宋体" w:cs="Times New Roman"/>
                <w:color w:val="auto"/>
                <w:sz w:val="21"/>
                <w:szCs w:val="21"/>
                <w:highlight w:val="none"/>
              </w:rPr>
              <w:t>北京赛德美资源再利用研究院有限公司</w:t>
            </w:r>
          </w:p>
        </w:tc>
        <w:tc>
          <w:tcPr>
            <w:tcW w:w="975" w:type="dxa"/>
            <w:noWrap w:val="0"/>
            <w:vAlign w:val="center"/>
          </w:tcPr>
          <w:p w14:paraId="67E16A6B">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李荐</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周宏明</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程磊</w:t>
            </w:r>
          </w:p>
        </w:tc>
        <w:tc>
          <w:tcPr>
            <w:tcW w:w="1020" w:type="dxa"/>
            <w:noWrap w:val="0"/>
            <w:vAlign w:val="center"/>
          </w:tcPr>
          <w:p w14:paraId="6FBD9115">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专利</w:t>
            </w:r>
            <w:r>
              <w:rPr>
                <w:rFonts w:hint="default" w:ascii="Times New Roman" w:hAnsi="Times New Roman" w:eastAsia="宋体" w:cs="Times New Roman"/>
                <w:color w:val="auto"/>
                <w:sz w:val="21"/>
                <w:szCs w:val="21"/>
                <w:highlight w:val="none"/>
              </w:rPr>
              <w:t>有效</w:t>
            </w:r>
          </w:p>
        </w:tc>
      </w:tr>
      <w:tr w14:paraId="739A54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27" w:hRule="atLeast"/>
          <w:jc w:val="center"/>
        </w:trPr>
        <w:tc>
          <w:tcPr>
            <w:tcW w:w="1088" w:type="dxa"/>
            <w:noWrap w:val="0"/>
            <w:vAlign w:val="center"/>
          </w:tcPr>
          <w:p w14:paraId="6F809EC9">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发明专利</w:t>
            </w:r>
          </w:p>
        </w:tc>
        <w:tc>
          <w:tcPr>
            <w:tcW w:w="1260" w:type="dxa"/>
            <w:noWrap w:val="0"/>
            <w:vAlign w:val="center"/>
          </w:tcPr>
          <w:p w14:paraId="090B4C78">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一种锂电池电极材料与箔材的分离方法</w:t>
            </w:r>
          </w:p>
        </w:tc>
        <w:tc>
          <w:tcPr>
            <w:tcW w:w="1022" w:type="dxa"/>
            <w:noWrap w:val="0"/>
            <w:vAlign w:val="center"/>
          </w:tcPr>
          <w:p w14:paraId="1FE95B86">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中国</w:t>
            </w:r>
          </w:p>
        </w:tc>
        <w:tc>
          <w:tcPr>
            <w:tcW w:w="849" w:type="dxa"/>
            <w:noWrap w:val="0"/>
            <w:vAlign w:val="center"/>
          </w:tcPr>
          <w:p w14:paraId="2AD76CF0">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ZL202210042729.X</w:t>
            </w:r>
          </w:p>
        </w:tc>
        <w:tc>
          <w:tcPr>
            <w:tcW w:w="929" w:type="dxa"/>
            <w:noWrap w:val="0"/>
            <w:vAlign w:val="center"/>
          </w:tcPr>
          <w:p w14:paraId="10F96B6E">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2023</w:t>
            </w:r>
            <w:r>
              <w:rPr>
                <w:rFonts w:hint="eastAsia" w:ascii="Times New Roman" w:cs="Times New Roman"/>
                <w:color w:val="auto"/>
                <w:sz w:val="21"/>
                <w:szCs w:val="21"/>
                <w:highlight w:val="none"/>
                <w:lang w:val="en-US" w:eastAsia="zh-CN"/>
              </w:rPr>
              <w:t>年</w:t>
            </w:r>
            <w:r>
              <w:rPr>
                <w:rFonts w:hint="default" w:ascii="Times New Roman" w:hAnsi="Times New Roman" w:eastAsia="宋体" w:cs="Times New Roman"/>
                <w:color w:val="auto"/>
                <w:sz w:val="21"/>
                <w:szCs w:val="21"/>
                <w:highlight w:val="none"/>
              </w:rPr>
              <w:t>5</w:t>
            </w:r>
            <w:r>
              <w:rPr>
                <w:rFonts w:hint="eastAsia" w:ascii="Times New Roman" w:cs="Times New Roman"/>
                <w:color w:val="auto"/>
                <w:sz w:val="21"/>
                <w:szCs w:val="21"/>
                <w:highlight w:val="none"/>
                <w:lang w:val="en-US" w:eastAsia="zh-CN"/>
              </w:rPr>
              <w:t>月</w:t>
            </w:r>
            <w:r>
              <w:rPr>
                <w:rFonts w:hint="default" w:ascii="Times New Roman" w:hAnsi="Times New Roman" w:eastAsia="宋体" w:cs="Times New Roman"/>
                <w:color w:val="auto"/>
                <w:sz w:val="21"/>
                <w:szCs w:val="21"/>
                <w:highlight w:val="none"/>
              </w:rPr>
              <w:t>19</w:t>
            </w:r>
            <w:r>
              <w:rPr>
                <w:rFonts w:hint="eastAsia" w:ascii="Times New Roman" w:cs="Times New Roman"/>
                <w:color w:val="auto"/>
                <w:sz w:val="21"/>
                <w:szCs w:val="21"/>
                <w:highlight w:val="none"/>
                <w:lang w:val="en-US" w:eastAsia="zh-CN"/>
              </w:rPr>
              <w:t>日</w:t>
            </w:r>
          </w:p>
        </w:tc>
        <w:tc>
          <w:tcPr>
            <w:tcW w:w="1095" w:type="dxa"/>
            <w:noWrap w:val="0"/>
            <w:vAlign w:val="center"/>
          </w:tcPr>
          <w:p w14:paraId="1EB4DF07">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第5979964号</w:t>
            </w:r>
          </w:p>
        </w:tc>
        <w:tc>
          <w:tcPr>
            <w:tcW w:w="945" w:type="dxa"/>
            <w:noWrap w:val="0"/>
            <w:vAlign w:val="center"/>
          </w:tcPr>
          <w:p w14:paraId="76C9855E">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中南大学</w:t>
            </w:r>
          </w:p>
        </w:tc>
        <w:tc>
          <w:tcPr>
            <w:tcW w:w="975" w:type="dxa"/>
            <w:noWrap w:val="0"/>
            <w:vAlign w:val="center"/>
          </w:tcPr>
          <w:p w14:paraId="62CC4CA0">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李荐；王利华；聂海英；李正义</w:t>
            </w:r>
          </w:p>
        </w:tc>
        <w:tc>
          <w:tcPr>
            <w:tcW w:w="1020" w:type="dxa"/>
            <w:noWrap w:val="0"/>
            <w:vAlign w:val="center"/>
          </w:tcPr>
          <w:p w14:paraId="3D78007F">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专利</w:t>
            </w:r>
            <w:r>
              <w:rPr>
                <w:rFonts w:hint="default" w:ascii="Times New Roman" w:hAnsi="Times New Roman" w:eastAsia="宋体" w:cs="Times New Roman"/>
                <w:color w:val="auto"/>
                <w:sz w:val="21"/>
                <w:szCs w:val="21"/>
                <w:highlight w:val="none"/>
              </w:rPr>
              <w:t>有效</w:t>
            </w:r>
          </w:p>
        </w:tc>
      </w:tr>
      <w:tr w14:paraId="0E7C19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27" w:hRule="atLeast"/>
          <w:jc w:val="center"/>
        </w:trPr>
        <w:tc>
          <w:tcPr>
            <w:tcW w:w="1088" w:type="dxa"/>
            <w:noWrap w:val="0"/>
            <w:vAlign w:val="center"/>
          </w:tcPr>
          <w:p w14:paraId="5311C694">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发明专利</w:t>
            </w:r>
          </w:p>
        </w:tc>
        <w:tc>
          <w:tcPr>
            <w:tcW w:w="1260" w:type="dxa"/>
            <w:noWrap w:val="0"/>
            <w:vAlign w:val="center"/>
          </w:tcPr>
          <w:p w14:paraId="6C43C64D">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一种正极混合料中分离磷酸亚铁锂和游离碳的方法</w:t>
            </w:r>
          </w:p>
        </w:tc>
        <w:tc>
          <w:tcPr>
            <w:tcW w:w="1022" w:type="dxa"/>
            <w:noWrap w:val="0"/>
            <w:vAlign w:val="center"/>
          </w:tcPr>
          <w:p w14:paraId="2968287A">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中国</w:t>
            </w:r>
          </w:p>
        </w:tc>
        <w:tc>
          <w:tcPr>
            <w:tcW w:w="849" w:type="dxa"/>
            <w:noWrap w:val="0"/>
            <w:vAlign w:val="center"/>
          </w:tcPr>
          <w:p w14:paraId="0D9834A7">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ZL201710416267.2</w:t>
            </w:r>
          </w:p>
        </w:tc>
        <w:tc>
          <w:tcPr>
            <w:tcW w:w="929" w:type="dxa"/>
            <w:noWrap w:val="0"/>
            <w:vAlign w:val="center"/>
          </w:tcPr>
          <w:p w14:paraId="5F77D85E">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2020</w:t>
            </w:r>
            <w:r>
              <w:rPr>
                <w:rFonts w:hint="eastAsia" w:ascii="Times New Roman" w:cs="Times New Roman"/>
                <w:color w:val="auto"/>
                <w:sz w:val="21"/>
                <w:szCs w:val="21"/>
                <w:highlight w:val="none"/>
                <w:lang w:val="en-US" w:eastAsia="zh-CN"/>
              </w:rPr>
              <w:t>年</w:t>
            </w:r>
            <w:r>
              <w:rPr>
                <w:rFonts w:hint="default" w:ascii="Times New Roman" w:hAnsi="Times New Roman" w:eastAsia="宋体" w:cs="Times New Roman"/>
                <w:color w:val="auto"/>
                <w:sz w:val="21"/>
                <w:szCs w:val="21"/>
                <w:highlight w:val="none"/>
              </w:rPr>
              <w:t>8</w:t>
            </w:r>
            <w:r>
              <w:rPr>
                <w:rFonts w:hint="eastAsia" w:ascii="Times New Roman" w:cs="Times New Roman"/>
                <w:color w:val="auto"/>
                <w:sz w:val="21"/>
                <w:szCs w:val="21"/>
                <w:highlight w:val="none"/>
                <w:lang w:val="en-US" w:eastAsia="zh-CN"/>
              </w:rPr>
              <w:t>月</w:t>
            </w:r>
            <w:r>
              <w:rPr>
                <w:rFonts w:hint="default" w:ascii="Times New Roman" w:hAnsi="Times New Roman" w:eastAsia="宋体" w:cs="Times New Roman"/>
                <w:color w:val="auto"/>
                <w:sz w:val="21"/>
                <w:szCs w:val="21"/>
                <w:highlight w:val="none"/>
              </w:rPr>
              <w:t>14</w:t>
            </w:r>
            <w:r>
              <w:rPr>
                <w:rFonts w:hint="eastAsia" w:ascii="Times New Roman" w:cs="Times New Roman"/>
                <w:color w:val="auto"/>
                <w:sz w:val="21"/>
                <w:szCs w:val="21"/>
                <w:highlight w:val="none"/>
                <w:lang w:val="en-US" w:eastAsia="zh-CN"/>
              </w:rPr>
              <w:t>日</w:t>
            </w:r>
          </w:p>
        </w:tc>
        <w:tc>
          <w:tcPr>
            <w:tcW w:w="1095" w:type="dxa"/>
            <w:noWrap w:val="0"/>
            <w:vAlign w:val="center"/>
          </w:tcPr>
          <w:p w14:paraId="0DF97406">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第3939249号</w:t>
            </w:r>
          </w:p>
        </w:tc>
        <w:tc>
          <w:tcPr>
            <w:tcW w:w="945" w:type="dxa"/>
            <w:noWrap w:val="0"/>
            <w:vAlign w:val="center"/>
          </w:tcPr>
          <w:p w14:paraId="219C3CE4">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湖南省正源储能材料与器件研究所</w:t>
            </w:r>
            <w:r>
              <w:rPr>
                <w:rFonts w:hint="default" w:ascii="Times New Roman" w:hAnsi="Times New Roman" w:eastAsia="宋体" w:cs="Times New Roman"/>
                <w:color w:val="auto"/>
                <w:sz w:val="21"/>
                <w:szCs w:val="21"/>
                <w:highlight w:val="none"/>
                <w:lang w:val="en-US" w:eastAsia="zh-CN"/>
              </w:rPr>
              <w:t>转移至</w:t>
            </w:r>
            <w:r>
              <w:rPr>
                <w:rFonts w:hint="default" w:ascii="Times New Roman" w:hAnsi="Times New Roman" w:eastAsia="宋体" w:cs="Times New Roman"/>
                <w:color w:val="auto"/>
                <w:sz w:val="21"/>
                <w:szCs w:val="21"/>
                <w:highlight w:val="none"/>
              </w:rPr>
              <w:t>北京赛德美资源再利用研究院有限公司</w:t>
            </w:r>
          </w:p>
        </w:tc>
        <w:tc>
          <w:tcPr>
            <w:tcW w:w="975" w:type="dxa"/>
            <w:noWrap w:val="0"/>
            <w:vAlign w:val="center"/>
          </w:tcPr>
          <w:p w14:paraId="638EB80B">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李荐；王利华</w:t>
            </w:r>
          </w:p>
        </w:tc>
        <w:tc>
          <w:tcPr>
            <w:tcW w:w="1020" w:type="dxa"/>
            <w:noWrap w:val="0"/>
            <w:vAlign w:val="center"/>
          </w:tcPr>
          <w:p w14:paraId="565468D1">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专利</w:t>
            </w:r>
            <w:r>
              <w:rPr>
                <w:rFonts w:hint="default" w:ascii="Times New Roman" w:hAnsi="Times New Roman" w:eastAsia="宋体" w:cs="Times New Roman"/>
                <w:color w:val="auto"/>
                <w:sz w:val="21"/>
                <w:szCs w:val="21"/>
                <w:highlight w:val="none"/>
              </w:rPr>
              <w:t>有效</w:t>
            </w:r>
          </w:p>
        </w:tc>
      </w:tr>
      <w:tr w14:paraId="53AF74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27" w:hRule="atLeast"/>
          <w:jc w:val="center"/>
        </w:trPr>
        <w:tc>
          <w:tcPr>
            <w:tcW w:w="1088" w:type="dxa"/>
            <w:noWrap w:val="0"/>
            <w:vAlign w:val="center"/>
          </w:tcPr>
          <w:p w14:paraId="5886282A">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发明专利</w:t>
            </w:r>
          </w:p>
        </w:tc>
        <w:tc>
          <w:tcPr>
            <w:tcW w:w="1260" w:type="dxa"/>
            <w:noWrap w:val="0"/>
            <w:vAlign w:val="center"/>
          </w:tcPr>
          <w:p w14:paraId="1C9E502A">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一种废旧三元多晶材料重构三元单晶材料方法</w:t>
            </w:r>
          </w:p>
        </w:tc>
        <w:tc>
          <w:tcPr>
            <w:tcW w:w="1022" w:type="dxa"/>
            <w:noWrap w:val="0"/>
            <w:vAlign w:val="center"/>
          </w:tcPr>
          <w:p w14:paraId="551F2DBA">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中国</w:t>
            </w:r>
          </w:p>
        </w:tc>
        <w:tc>
          <w:tcPr>
            <w:tcW w:w="849" w:type="dxa"/>
            <w:noWrap w:val="0"/>
            <w:vAlign w:val="center"/>
          </w:tcPr>
          <w:p w14:paraId="6F9D1287">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ZL202011191544.2</w:t>
            </w:r>
          </w:p>
        </w:tc>
        <w:tc>
          <w:tcPr>
            <w:tcW w:w="929" w:type="dxa"/>
            <w:noWrap w:val="0"/>
            <w:vAlign w:val="center"/>
          </w:tcPr>
          <w:p w14:paraId="71045B50">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2021</w:t>
            </w:r>
            <w:r>
              <w:rPr>
                <w:rFonts w:hint="eastAsia" w:ascii="Times New Roman" w:cs="Times New Roman"/>
                <w:color w:val="auto"/>
                <w:sz w:val="21"/>
                <w:szCs w:val="21"/>
                <w:highlight w:val="none"/>
                <w:lang w:val="en-US" w:eastAsia="zh-CN"/>
              </w:rPr>
              <w:t>年</w:t>
            </w:r>
            <w:r>
              <w:rPr>
                <w:rFonts w:hint="default" w:ascii="Times New Roman" w:hAnsi="Times New Roman" w:eastAsia="宋体" w:cs="Times New Roman"/>
                <w:color w:val="auto"/>
                <w:sz w:val="21"/>
                <w:szCs w:val="21"/>
                <w:highlight w:val="none"/>
              </w:rPr>
              <w:t>12</w:t>
            </w:r>
            <w:r>
              <w:rPr>
                <w:rFonts w:hint="eastAsia" w:ascii="Times New Roman" w:cs="Times New Roman"/>
                <w:color w:val="auto"/>
                <w:sz w:val="21"/>
                <w:szCs w:val="21"/>
                <w:highlight w:val="none"/>
                <w:lang w:val="en-US" w:eastAsia="zh-CN"/>
              </w:rPr>
              <w:t>月</w:t>
            </w:r>
            <w:r>
              <w:rPr>
                <w:rFonts w:hint="default" w:ascii="Times New Roman" w:hAnsi="Times New Roman" w:eastAsia="宋体" w:cs="Times New Roman"/>
                <w:color w:val="auto"/>
                <w:sz w:val="21"/>
                <w:szCs w:val="21"/>
                <w:highlight w:val="none"/>
              </w:rPr>
              <w:t>14</w:t>
            </w:r>
            <w:r>
              <w:rPr>
                <w:rFonts w:hint="eastAsia" w:ascii="Times New Roman" w:cs="Times New Roman"/>
                <w:color w:val="auto"/>
                <w:sz w:val="21"/>
                <w:szCs w:val="21"/>
                <w:highlight w:val="none"/>
                <w:lang w:val="en-US" w:eastAsia="zh-CN"/>
              </w:rPr>
              <w:t>日</w:t>
            </w:r>
          </w:p>
        </w:tc>
        <w:tc>
          <w:tcPr>
            <w:tcW w:w="1095" w:type="dxa"/>
            <w:noWrap w:val="0"/>
            <w:vAlign w:val="center"/>
          </w:tcPr>
          <w:p w14:paraId="05B927B0">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第4848837号</w:t>
            </w:r>
          </w:p>
        </w:tc>
        <w:tc>
          <w:tcPr>
            <w:tcW w:w="945" w:type="dxa"/>
            <w:noWrap w:val="0"/>
            <w:vAlign w:val="center"/>
          </w:tcPr>
          <w:p w14:paraId="1E9900B4">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bookmarkStart w:id="1" w:name="_GoBack"/>
            <w:r>
              <w:rPr>
                <w:rFonts w:hint="eastAsia" w:ascii="Times New Roman" w:cs="Times New Roman"/>
                <w:color w:val="auto"/>
                <w:sz w:val="21"/>
                <w:szCs w:val="21"/>
                <w:highlight w:val="none"/>
                <w:lang w:val="en-US" w:eastAsia="zh-CN"/>
              </w:rPr>
              <w:t>中南大学转移至</w:t>
            </w:r>
            <w:r>
              <w:rPr>
                <w:rFonts w:hint="default" w:ascii="Times New Roman" w:hAnsi="Times New Roman" w:eastAsia="宋体" w:cs="Times New Roman"/>
                <w:color w:val="auto"/>
                <w:sz w:val="21"/>
                <w:szCs w:val="21"/>
                <w:highlight w:val="none"/>
              </w:rPr>
              <w:t>北京赛德美资源再利用研究院有限公司</w:t>
            </w:r>
            <w:bookmarkEnd w:id="1"/>
          </w:p>
        </w:tc>
        <w:tc>
          <w:tcPr>
            <w:tcW w:w="975" w:type="dxa"/>
            <w:noWrap w:val="0"/>
            <w:vAlign w:val="center"/>
          </w:tcPr>
          <w:p w14:paraId="464B1899">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王利华；李荐；张敏超；池哲曦；肖宜华</w:t>
            </w:r>
          </w:p>
        </w:tc>
        <w:tc>
          <w:tcPr>
            <w:tcW w:w="1020" w:type="dxa"/>
            <w:noWrap w:val="0"/>
            <w:vAlign w:val="center"/>
          </w:tcPr>
          <w:p w14:paraId="3A94DF52">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专利</w:t>
            </w:r>
            <w:r>
              <w:rPr>
                <w:rFonts w:hint="default" w:ascii="Times New Roman" w:hAnsi="Times New Roman" w:eastAsia="宋体" w:cs="Times New Roman"/>
                <w:color w:val="auto"/>
                <w:sz w:val="21"/>
                <w:szCs w:val="21"/>
                <w:highlight w:val="none"/>
              </w:rPr>
              <w:t>有效</w:t>
            </w:r>
          </w:p>
        </w:tc>
      </w:tr>
      <w:tr w14:paraId="124B94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27" w:hRule="atLeast"/>
          <w:jc w:val="center"/>
        </w:trPr>
        <w:tc>
          <w:tcPr>
            <w:tcW w:w="1088" w:type="dxa"/>
            <w:noWrap w:val="0"/>
            <w:vAlign w:val="center"/>
          </w:tcPr>
          <w:p w14:paraId="01593241">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发明专利</w:t>
            </w:r>
          </w:p>
        </w:tc>
        <w:tc>
          <w:tcPr>
            <w:tcW w:w="1260" w:type="dxa"/>
            <w:noWrap w:val="0"/>
            <w:vAlign w:val="center"/>
          </w:tcPr>
          <w:p w14:paraId="26EAFB8C">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一种退役NCM正极料再生NCMA正极材料的方法</w:t>
            </w:r>
          </w:p>
        </w:tc>
        <w:tc>
          <w:tcPr>
            <w:tcW w:w="1022" w:type="dxa"/>
            <w:noWrap w:val="0"/>
            <w:vAlign w:val="center"/>
          </w:tcPr>
          <w:p w14:paraId="529AFD6A">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中国</w:t>
            </w:r>
          </w:p>
        </w:tc>
        <w:tc>
          <w:tcPr>
            <w:tcW w:w="849" w:type="dxa"/>
            <w:noWrap w:val="0"/>
            <w:vAlign w:val="center"/>
          </w:tcPr>
          <w:p w14:paraId="47E34BEA">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ZL202111328619.1</w:t>
            </w:r>
          </w:p>
        </w:tc>
        <w:tc>
          <w:tcPr>
            <w:tcW w:w="929" w:type="dxa"/>
            <w:noWrap w:val="0"/>
            <w:vAlign w:val="center"/>
          </w:tcPr>
          <w:p w14:paraId="20488BEC">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2023</w:t>
            </w:r>
            <w:r>
              <w:rPr>
                <w:rFonts w:hint="eastAsia" w:ascii="Times New Roman" w:cs="Times New Roman"/>
                <w:color w:val="auto"/>
                <w:sz w:val="21"/>
                <w:szCs w:val="21"/>
                <w:highlight w:val="none"/>
                <w:lang w:val="en-US" w:eastAsia="zh-CN"/>
              </w:rPr>
              <w:t>年</w:t>
            </w:r>
            <w:r>
              <w:rPr>
                <w:rFonts w:hint="default" w:ascii="Times New Roman" w:hAnsi="Times New Roman" w:eastAsia="宋体" w:cs="Times New Roman"/>
                <w:color w:val="auto"/>
                <w:sz w:val="21"/>
                <w:szCs w:val="21"/>
                <w:highlight w:val="none"/>
              </w:rPr>
              <w:t>3</w:t>
            </w:r>
            <w:r>
              <w:rPr>
                <w:rFonts w:hint="eastAsia" w:ascii="Times New Roman" w:cs="Times New Roman"/>
                <w:color w:val="auto"/>
                <w:sz w:val="21"/>
                <w:szCs w:val="21"/>
                <w:highlight w:val="none"/>
                <w:lang w:val="en-US" w:eastAsia="zh-CN"/>
              </w:rPr>
              <w:t>月</w:t>
            </w:r>
            <w:r>
              <w:rPr>
                <w:rFonts w:hint="default" w:ascii="Times New Roman" w:hAnsi="Times New Roman" w:eastAsia="宋体" w:cs="Times New Roman"/>
                <w:color w:val="auto"/>
                <w:sz w:val="21"/>
                <w:szCs w:val="21"/>
                <w:highlight w:val="none"/>
              </w:rPr>
              <w:t>28</w:t>
            </w:r>
            <w:r>
              <w:rPr>
                <w:rFonts w:hint="eastAsia" w:ascii="Times New Roman" w:cs="Times New Roman"/>
                <w:color w:val="auto"/>
                <w:sz w:val="21"/>
                <w:szCs w:val="21"/>
                <w:highlight w:val="none"/>
                <w:lang w:val="en-US" w:eastAsia="zh-CN"/>
              </w:rPr>
              <w:t>日</w:t>
            </w:r>
          </w:p>
        </w:tc>
        <w:tc>
          <w:tcPr>
            <w:tcW w:w="1095" w:type="dxa"/>
            <w:noWrap w:val="0"/>
            <w:vAlign w:val="center"/>
          </w:tcPr>
          <w:p w14:paraId="3A91ED28">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第5821382号</w:t>
            </w:r>
          </w:p>
        </w:tc>
        <w:tc>
          <w:tcPr>
            <w:tcW w:w="945" w:type="dxa"/>
            <w:noWrap w:val="0"/>
            <w:vAlign w:val="center"/>
          </w:tcPr>
          <w:p w14:paraId="1B349C1D">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中南大学</w:t>
            </w:r>
          </w:p>
        </w:tc>
        <w:tc>
          <w:tcPr>
            <w:tcW w:w="975" w:type="dxa"/>
            <w:noWrap w:val="0"/>
            <w:vAlign w:val="center"/>
          </w:tcPr>
          <w:p w14:paraId="5B53D12E">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李荐；王利华；田基德；张芸芸；陈永志</w:t>
            </w:r>
          </w:p>
        </w:tc>
        <w:tc>
          <w:tcPr>
            <w:tcW w:w="1020" w:type="dxa"/>
            <w:noWrap w:val="0"/>
            <w:vAlign w:val="center"/>
          </w:tcPr>
          <w:p w14:paraId="2DD28F1A">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专利</w:t>
            </w:r>
            <w:r>
              <w:rPr>
                <w:rFonts w:hint="default" w:ascii="Times New Roman" w:hAnsi="Times New Roman" w:eastAsia="宋体" w:cs="Times New Roman"/>
                <w:color w:val="auto"/>
                <w:sz w:val="21"/>
                <w:szCs w:val="21"/>
                <w:highlight w:val="none"/>
              </w:rPr>
              <w:t>有效</w:t>
            </w:r>
          </w:p>
        </w:tc>
      </w:tr>
      <w:tr w14:paraId="52060E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27" w:hRule="atLeast"/>
          <w:jc w:val="center"/>
        </w:trPr>
        <w:tc>
          <w:tcPr>
            <w:tcW w:w="1088" w:type="dxa"/>
            <w:noWrap w:val="0"/>
            <w:vAlign w:val="center"/>
          </w:tcPr>
          <w:p w14:paraId="154A01D9">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发明专利</w:t>
            </w:r>
          </w:p>
        </w:tc>
        <w:tc>
          <w:tcPr>
            <w:tcW w:w="1260" w:type="dxa"/>
            <w:noWrap w:val="0"/>
            <w:vAlign w:val="center"/>
          </w:tcPr>
          <w:p w14:paraId="54282491">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一种退役锂离子电池负极石墨的回收再生方法</w:t>
            </w:r>
          </w:p>
        </w:tc>
        <w:tc>
          <w:tcPr>
            <w:tcW w:w="1022" w:type="dxa"/>
            <w:noWrap w:val="0"/>
            <w:vAlign w:val="center"/>
          </w:tcPr>
          <w:p w14:paraId="11458ADB">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中国</w:t>
            </w:r>
          </w:p>
        </w:tc>
        <w:tc>
          <w:tcPr>
            <w:tcW w:w="849" w:type="dxa"/>
            <w:noWrap w:val="0"/>
            <w:vAlign w:val="center"/>
          </w:tcPr>
          <w:p w14:paraId="0DF70A15">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ZL202010823216.3</w:t>
            </w:r>
          </w:p>
        </w:tc>
        <w:tc>
          <w:tcPr>
            <w:tcW w:w="929" w:type="dxa"/>
            <w:noWrap w:val="0"/>
            <w:vAlign w:val="center"/>
          </w:tcPr>
          <w:p w14:paraId="64BC57A5">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2023</w:t>
            </w:r>
            <w:r>
              <w:rPr>
                <w:rFonts w:hint="eastAsia" w:ascii="Times New Roman" w:cs="Times New Roman"/>
                <w:color w:val="auto"/>
                <w:sz w:val="21"/>
                <w:szCs w:val="21"/>
                <w:highlight w:val="none"/>
                <w:lang w:val="en-US" w:eastAsia="zh-CN"/>
              </w:rPr>
              <w:t>年</w:t>
            </w:r>
            <w:r>
              <w:rPr>
                <w:rFonts w:hint="default" w:ascii="Times New Roman" w:hAnsi="Times New Roman" w:eastAsia="宋体" w:cs="Times New Roman"/>
                <w:color w:val="auto"/>
                <w:sz w:val="21"/>
                <w:szCs w:val="21"/>
                <w:highlight w:val="none"/>
              </w:rPr>
              <w:t>2</w:t>
            </w:r>
            <w:r>
              <w:rPr>
                <w:rFonts w:hint="eastAsia" w:ascii="Times New Roman" w:cs="Times New Roman"/>
                <w:color w:val="auto"/>
                <w:sz w:val="21"/>
                <w:szCs w:val="21"/>
                <w:highlight w:val="none"/>
                <w:lang w:val="en-US" w:eastAsia="zh-CN"/>
              </w:rPr>
              <w:t>月</w:t>
            </w:r>
            <w:r>
              <w:rPr>
                <w:rFonts w:hint="default" w:ascii="Times New Roman" w:hAnsi="Times New Roman" w:eastAsia="宋体" w:cs="Times New Roman"/>
                <w:color w:val="auto"/>
                <w:sz w:val="21"/>
                <w:szCs w:val="21"/>
                <w:highlight w:val="none"/>
              </w:rPr>
              <w:t>17</w:t>
            </w:r>
            <w:r>
              <w:rPr>
                <w:rFonts w:hint="eastAsia" w:ascii="Times New Roman" w:cs="Times New Roman"/>
                <w:color w:val="auto"/>
                <w:sz w:val="21"/>
                <w:szCs w:val="21"/>
                <w:highlight w:val="none"/>
                <w:lang w:val="en-US" w:eastAsia="zh-CN"/>
              </w:rPr>
              <w:t>日</w:t>
            </w:r>
          </w:p>
        </w:tc>
        <w:tc>
          <w:tcPr>
            <w:tcW w:w="1095" w:type="dxa"/>
            <w:noWrap w:val="0"/>
            <w:vAlign w:val="center"/>
          </w:tcPr>
          <w:p w14:paraId="2CE3D79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第5740103号</w:t>
            </w:r>
          </w:p>
        </w:tc>
        <w:tc>
          <w:tcPr>
            <w:tcW w:w="945" w:type="dxa"/>
            <w:noWrap w:val="0"/>
            <w:vAlign w:val="center"/>
          </w:tcPr>
          <w:p w14:paraId="42F52EA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湖南省正源储能材料与器件研究所</w:t>
            </w:r>
          </w:p>
        </w:tc>
        <w:tc>
          <w:tcPr>
            <w:tcW w:w="975" w:type="dxa"/>
            <w:noWrap w:val="0"/>
            <w:vAlign w:val="center"/>
          </w:tcPr>
          <w:p w14:paraId="1B7BE7F7">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王利华；李荐；肖宜华；田际德；申昆；张敏超；池哲曦；尚雷；刘</w:t>
            </w:r>
            <w:r>
              <w:rPr>
                <w:rFonts w:hint="eastAsia" w:ascii="Times New Roman" w:cs="Times New Roman"/>
                <w:color w:val="auto"/>
                <w:sz w:val="21"/>
                <w:szCs w:val="21"/>
                <w:highlight w:val="none"/>
                <w:lang w:val="en-US" w:eastAsia="zh-CN"/>
              </w:rPr>
              <w:t>湘</w:t>
            </w:r>
          </w:p>
        </w:tc>
        <w:tc>
          <w:tcPr>
            <w:tcW w:w="1020" w:type="dxa"/>
            <w:noWrap w:val="0"/>
            <w:vAlign w:val="center"/>
          </w:tcPr>
          <w:p w14:paraId="2E899177">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专利</w:t>
            </w:r>
            <w:r>
              <w:rPr>
                <w:rFonts w:hint="default" w:ascii="Times New Roman" w:hAnsi="Times New Roman" w:eastAsia="宋体" w:cs="Times New Roman"/>
                <w:color w:val="auto"/>
                <w:sz w:val="21"/>
                <w:szCs w:val="21"/>
                <w:highlight w:val="none"/>
              </w:rPr>
              <w:t>有效</w:t>
            </w:r>
          </w:p>
        </w:tc>
      </w:tr>
      <w:tr w14:paraId="5E33DA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27" w:hRule="atLeast"/>
          <w:jc w:val="center"/>
        </w:trPr>
        <w:tc>
          <w:tcPr>
            <w:tcW w:w="1088" w:type="dxa"/>
            <w:noWrap w:val="0"/>
            <w:vAlign w:val="center"/>
          </w:tcPr>
          <w:p w14:paraId="1E553C5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发明专利</w:t>
            </w:r>
          </w:p>
        </w:tc>
        <w:tc>
          <w:tcPr>
            <w:tcW w:w="1260" w:type="dxa"/>
            <w:noWrap w:val="0"/>
            <w:vAlign w:val="center"/>
          </w:tcPr>
          <w:p w14:paraId="44DC24C0">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低晶化度包覆料及其制备方法、负极材料及锂电池负极</w:t>
            </w:r>
          </w:p>
        </w:tc>
        <w:tc>
          <w:tcPr>
            <w:tcW w:w="1022" w:type="dxa"/>
            <w:noWrap w:val="0"/>
            <w:vAlign w:val="center"/>
          </w:tcPr>
          <w:p w14:paraId="4BCC419E">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中国</w:t>
            </w:r>
          </w:p>
        </w:tc>
        <w:tc>
          <w:tcPr>
            <w:tcW w:w="849" w:type="dxa"/>
            <w:noWrap w:val="0"/>
            <w:vAlign w:val="center"/>
          </w:tcPr>
          <w:p w14:paraId="3B4F3FE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ZL</w:t>
            </w:r>
            <w:r>
              <w:rPr>
                <w:rFonts w:hint="eastAsia" w:ascii="Times New Roman" w:cs="Times New Roman"/>
                <w:color w:val="auto"/>
                <w:sz w:val="21"/>
                <w:szCs w:val="21"/>
                <w:highlight w:val="none"/>
                <w:lang w:val="en-US" w:eastAsia="zh-CN"/>
              </w:rPr>
              <w:t>202010734556.9</w:t>
            </w:r>
          </w:p>
        </w:tc>
        <w:tc>
          <w:tcPr>
            <w:tcW w:w="929" w:type="dxa"/>
            <w:noWrap w:val="0"/>
            <w:vAlign w:val="center"/>
          </w:tcPr>
          <w:p w14:paraId="0CD92FEE">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202</w:t>
            </w:r>
            <w:r>
              <w:rPr>
                <w:rFonts w:hint="eastAsia" w:asci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年</w:t>
            </w:r>
            <w:r>
              <w:rPr>
                <w:rFonts w:hint="eastAsia" w:ascii="Times New Roman" w:cs="Times New Roman"/>
                <w:color w:val="auto"/>
                <w:sz w:val="21"/>
                <w:szCs w:val="21"/>
                <w:highlight w:val="none"/>
                <w:lang w:val="en-US" w:eastAsia="zh-CN"/>
              </w:rPr>
              <w:t>04</w:t>
            </w:r>
            <w:r>
              <w:rPr>
                <w:rFonts w:hint="default" w:ascii="Times New Roman" w:hAnsi="Times New Roman" w:eastAsia="宋体" w:cs="Times New Roman"/>
                <w:color w:val="auto"/>
                <w:sz w:val="21"/>
                <w:szCs w:val="21"/>
                <w:highlight w:val="none"/>
              </w:rPr>
              <w:t>月</w:t>
            </w:r>
            <w:r>
              <w:rPr>
                <w:rFonts w:hint="eastAsia" w:ascii="Times New Roman" w:cs="Times New Roman"/>
                <w:color w:val="auto"/>
                <w:sz w:val="21"/>
                <w:szCs w:val="21"/>
                <w:highlight w:val="none"/>
                <w:lang w:val="en-US" w:eastAsia="zh-CN"/>
              </w:rPr>
              <w:t>01</w:t>
            </w:r>
            <w:r>
              <w:rPr>
                <w:rFonts w:hint="default" w:ascii="Times New Roman" w:hAnsi="Times New Roman" w:eastAsia="宋体" w:cs="Times New Roman"/>
                <w:color w:val="auto"/>
                <w:sz w:val="21"/>
                <w:szCs w:val="21"/>
                <w:highlight w:val="none"/>
              </w:rPr>
              <w:t>日</w:t>
            </w:r>
          </w:p>
        </w:tc>
        <w:tc>
          <w:tcPr>
            <w:tcW w:w="1095" w:type="dxa"/>
            <w:noWrap w:val="0"/>
            <w:vAlign w:val="center"/>
          </w:tcPr>
          <w:p w14:paraId="2827FF0B">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第</w:t>
            </w:r>
            <w:r>
              <w:rPr>
                <w:rFonts w:hint="eastAsia" w:ascii="Times New Roman" w:cs="Times New Roman"/>
                <w:color w:val="auto"/>
                <w:sz w:val="21"/>
                <w:szCs w:val="21"/>
                <w:highlight w:val="none"/>
                <w:lang w:val="en-US" w:eastAsia="zh-CN"/>
              </w:rPr>
              <w:t>5041243</w:t>
            </w:r>
            <w:r>
              <w:rPr>
                <w:rFonts w:hint="default" w:ascii="Times New Roman" w:hAnsi="Times New Roman" w:eastAsia="宋体" w:cs="Times New Roman"/>
                <w:color w:val="auto"/>
                <w:sz w:val="21"/>
                <w:szCs w:val="21"/>
                <w:highlight w:val="none"/>
              </w:rPr>
              <w:t>号</w:t>
            </w:r>
          </w:p>
        </w:tc>
        <w:tc>
          <w:tcPr>
            <w:tcW w:w="945" w:type="dxa"/>
            <w:noWrap w:val="0"/>
            <w:vAlign w:val="center"/>
          </w:tcPr>
          <w:p w14:paraId="2FE72A57">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湖南中科星城石墨有限公司</w:t>
            </w:r>
          </w:p>
        </w:tc>
        <w:tc>
          <w:tcPr>
            <w:tcW w:w="975" w:type="dxa"/>
            <w:noWrap w:val="0"/>
            <w:vAlign w:val="center"/>
          </w:tcPr>
          <w:p w14:paraId="1C2083A8">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佘英奇</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胡孔明</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王志勇</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任娜娜</w:t>
            </w:r>
          </w:p>
        </w:tc>
        <w:tc>
          <w:tcPr>
            <w:tcW w:w="1020" w:type="dxa"/>
            <w:noWrap w:val="0"/>
            <w:vAlign w:val="center"/>
          </w:tcPr>
          <w:p w14:paraId="054816E0">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eastAsia" w:ascii="Times New Roman"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专利</w:t>
            </w:r>
            <w:r>
              <w:rPr>
                <w:rFonts w:hint="default" w:ascii="Times New Roman" w:hAnsi="Times New Roman" w:eastAsia="宋体" w:cs="Times New Roman"/>
                <w:color w:val="auto"/>
                <w:sz w:val="21"/>
                <w:szCs w:val="21"/>
                <w:highlight w:val="none"/>
              </w:rPr>
              <w:t>有效</w:t>
            </w:r>
          </w:p>
        </w:tc>
      </w:tr>
      <w:tr w14:paraId="472218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27" w:hRule="atLeast"/>
          <w:jc w:val="center"/>
        </w:trPr>
        <w:tc>
          <w:tcPr>
            <w:tcW w:w="1088" w:type="dxa"/>
            <w:noWrap w:val="0"/>
            <w:vAlign w:val="center"/>
          </w:tcPr>
          <w:p w14:paraId="735CE36B">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发明专利</w:t>
            </w:r>
          </w:p>
        </w:tc>
        <w:tc>
          <w:tcPr>
            <w:tcW w:w="1260" w:type="dxa"/>
            <w:noWrap w:val="0"/>
            <w:vAlign w:val="center"/>
          </w:tcPr>
          <w:p w14:paraId="1DBD1F01">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一种退役镍钴锰酸锂电池负极石墨的回收再利用方法</w:t>
            </w:r>
          </w:p>
        </w:tc>
        <w:tc>
          <w:tcPr>
            <w:tcW w:w="1022" w:type="dxa"/>
            <w:noWrap w:val="0"/>
            <w:vAlign w:val="center"/>
          </w:tcPr>
          <w:p w14:paraId="7FD7F9EE">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hAnsi="Times New Roman" w:eastAsia="宋体" w:cs="Times New Roman"/>
                <w:color w:val="auto"/>
                <w:sz w:val="21"/>
                <w:szCs w:val="21"/>
                <w:highlight w:val="none"/>
                <w:lang w:val="en-US" w:eastAsia="zh-CN"/>
              </w:rPr>
              <w:t>中国</w:t>
            </w:r>
          </w:p>
        </w:tc>
        <w:tc>
          <w:tcPr>
            <w:tcW w:w="849" w:type="dxa"/>
            <w:noWrap w:val="0"/>
            <w:vAlign w:val="center"/>
          </w:tcPr>
          <w:p w14:paraId="135C2C9F">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ZL202411051243</w:t>
            </w:r>
            <w:r>
              <w:rPr>
                <w:rFonts w:hint="eastAsia" w:ascii="Times New Roman"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8</w:t>
            </w:r>
          </w:p>
          <w:p w14:paraId="404623B2">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p>
        </w:tc>
        <w:tc>
          <w:tcPr>
            <w:tcW w:w="929" w:type="dxa"/>
            <w:noWrap w:val="0"/>
            <w:vAlign w:val="center"/>
          </w:tcPr>
          <w:p w14:paraId="241F5298">
            <w:pPr>
              <w:pStyle w:val="3"/>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2025年10月28日</w:t>
            </w:r>
          </w:p>
        </w:tc>
        <w:tc>
          <w:tcPr>
            <w:tcW w:w="1095" w:type="dxa"/>
            <w:noWrap w:val="0"/>
            <w:vAlign w:val="center"/>
          </w:tcPr>
          <w:p w14:paraId="32711B65">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第8414180号</w:t>
            </w:r>
          </w:p>
          <w:p w14:paraId="559CAFB4">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p>
        </w:tc>
        <w:tc>
          <w:tcPr>
            <w:tcW w:w="945" w:type="dxa"/>
            <w:noWrap w:val="0"/>
            <w:vAlign w:val="center"/>
          </w:tcPr>
          <w:p w14:paraId="46131060">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深圳鑫茂新能源技术股份有限公司</w:t>
            </w:r>
          </w:p>
        </w:tc>
        <w:tc>
          <w:tcPr>
            <w:tcW w:w="975" w:type="dxa"/>
            <w:noWrap w:val="0"/>
            <w:vAlign w:val="center"/>
          </w:tcPr>
          <w:p w14:paraId="68C59F12">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艾戊云</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孔令超</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袁海中</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袁志强</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陈飞</w:t>
            </w:r>
          </w:p>
        </w:tc>
        <w:tc>
          <w:tcPr>
            <w:tcW w:w="1020" w:type="dxa"/>
            <w:noWrap w:val="0"/>
            <w:vAlign w:val="center"/>
          </w:tcPr>
          <w:p w14:paraId="123DDE4E">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专利有效</w:t>
            </w:r>
          </w:p>
        </w:tc>
      </w:tr>
      <w:tr w14:paraId="7619E6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27" w:hRule="atLeast"/>
          <w:jc w:val="center"/>
        </w:trPr>
        <w:tc>
          <w:tcPr>
            <w:tcW w:w="1088" w:type="dxa"/>
            <w:noWrap w:val="0"/>
            <w:vAlign w:val="center"/>
          </w:tcPr>
          <w:p w14:paraId="4E4FD960">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专著</w:t>
            </w:r>
          </w:p>
        </w:tc>
        <w:tc>
          <w:tcPr>
            <w:tcW w:w="1260" w:type="dxa"/>
            <w:noWrap w:val="0"/>
            <w:vAlign w:val="center"/>
          </w:tcPr>
          <w:p w14:paraId="1D387534">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锂离子动力电池回收技术与实践</w:t>
            </w:r>
          </w:p>
        </w:tc>
        <w:tc>
          <w:tcPr>
            <w:tcW w:w="1022" w:type="dxa"/>
            <w:noWrap w:val="0"/>
            <w:vAlign w:val="center"/>
          </w:tcPr>
          <w:p w14:paraId="45F8266C">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中国</w:t>
            </w:r>
          </w:p>
        </w:tc>
        <w:tc>
          <w:tcPr>
            <w:tcW w:w="849" w:type="dxa"/>
            <w:noWrap w:val="0"/>
            <w:vAlign w:val="center"/>
          </w:tcPr>
          <w:p w14:paraId="64C9FE16">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ISBN 978-7-5487-5037-6</w:t>
            </w:r>
          </w:p>
        </w:tc>
        <w:tc>
          <w:tcPr>
            <w:tcW w:w="929" w:type="dxa"/>
            <w:noWrap w:val="0"/>
            <w:vAlign w:val="center"/>
          </w:tcPr>
          <w:p w14:paraId="54699E5C">
            <w:pPr>
              <w:pStyle w:val="3"/>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firstLine="0" w:firstLineChars="0"/>
              <w:jc w:val="both"/>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2022年</w:t>
            </w:r>
            <w:r>
              <w:rPr>
                <w:rFonts w:hint="default" w:ascii="Times New Roman" w:hAnsi="Times New Roman" w:eastAsia="宋体" w:cs="Times New Roman"/>
                <w:color w:val="auto"/>
                <w:sz w:val="21"/>
                <w:szCs w:val="21"/>
                <w:highlight w:val="none"/>
              </w:rPr>
              <w:t>12</w:t>
            </w:r>
            <w:r>
              <w:rPr>
                <w:rFonts w:hint="eastAsia" w:ascii="Times New Roman" w:cs="Times New Roman"/>
                <w:color w:val="auto"/>
                <w:sz w:val="21"/>
                <w:szCs w:val="21"/>
                <w:highlight w:val="none"/>
                <w:lang w:val="en-US" w:eastAsia="zh-CN"/>
              </w:rPr>
              <w:t>月1日</w:t>
            </w:r>
          </w:p>
        </w:tc>
        <w:tc>
          <w:tcPr>
            <w:tcW w:w="1095" w:type="dxa"/>
            <w:noWrap w:val="0"/>
            <w:vAlign w:val="center"/>
          </w:tcPr>
          <w:p w14:paraId="034E43DC">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中国版本图书馆CIP 数据核字(2022)第144426号</w:t>
            </w:r>
          </w:p>
        </w:tc>
        <w:tc>
          <w:tcPr>
            <w:tcW w:w="945" w:type="dxa"/>
            <w:noWrap w:val="0"/>
            <w:vAlign w:val="center"/>
          </w:tcPr>
          <w:p w14:paraId="792A8D0C">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中南大学出版社</w:t>
            </w:r>
          </w:p>
        </w:tc>
        <w:tc>
          <w:tcPr>
            <w:tcW w:w="975" w:type="dxa"/>
            <w:noWrap w:val="0"/>
            <w:vAlign w:val="center"/>
          </w:tcPr>
          <w:p w14:paraId="30C40125">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李荐；王利华</w:t>
            </w:r>
          </w:p>
        </w:tc>
        <w:tc>
          <w:tcPr>
            <w:tcW w:w="1020" w:type="dxa"/>
            <w:noWrap w:val="0"/>
            <w:vAlign w:val="center"/>
          </w:tcPr>
          <w:p w14:paraId="69E46271">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其他有效的知识产权</w:t>
            </w:r>
          </w:p>
        </w:tc>
      </w:tr>
      <w:tr w14:paraId="5FE26E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827" w:hRule="atLeast"/>
          <w:jc w:val="center"/>
        </w:trPr>
        <w:tc>
          <w:tcPr>
            <w:tcW w:w="1088" w:type="dxa"/>
            <w:noWrap w:val="0"/>
            <w:vAlign w:val="center"/>
          </w:tcPr>
          <w:p w14:paraId="5104EC33">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论文</w:t>
            </w:r>
          </w:p>
        </w:tc>
        <w:tc>
          <w:tcPr>
            <w:tcW w:w="1260" w:type="dxa"/>
            <w:noWrap w:val="0"/>
            <w:vAlign w:val="center"/>
          </w:tcPr>
          <w:p w14:paraId="1FCB34F7">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Direct Regeneration of Spent Lithium‑Ion Battery</w:t>
            </w:r>
          </w:p>
          <w:p w14:paraId="7FB978C7">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Cathodes: From Theoretical Study to Production</w:t>
            </w:r>
          </w:p>
          <w:p w14:paraId="7F7A8E0C">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Practice</w:t>
            </w:r>
          </w:p>
        </w:tc>
        <w:tc>
          <w:tcPr>
            <w:tcW w:w="1022" w:type="dxa"/>
            <w:noWrap w:val="0"/>
            <w:vAlign w:val="center"/>
          </w:tcPr>
          <w:p w14:paraId="3EFE00E2">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中国</w:t>
            </w:r>
          </w:p>
        </w:tc>
        <w:tc>
          <w:tcPr>
            <w:tcW w:w="849" w:type="dxa"/>
            <w:noWrap w:val="0"/>
            <w:vAlign w:val="center"/>
          </w:tcPr>
          <w:p w14:paraId="4A1C41AF">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sz w:val="21"/>
                <w:szCs w:val="21"/>
                <w:highlight w:val="none"/>
                <w:lang w:val="en-US" w:eastAsia="zh-CN"/>
              </w:rPr>
              <w:t>DOI</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10.1007/s40820-024-01434-0</w:t>
            </w:r>
          </w:p>
        </w:tc>
        <w:tc>
          <w:tcPr>
            <w:tcW w:w="929" w:type="dxa"/>
            <w:noWrap w:val="0"/>
            <w:vAlign w:val="center"/>
          </w:tcPr>
          <w:p w14:paraId="0E86C346">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202</w:t>
            </w:r>
            <w:r>
              <w:rPr>
                <w:rFonts w:hint="eastAsia" w:ascii="Times New Roman" w:cs="Times New Roman"/>
                <w:color w:val="auto"/>
                <w:sz w:val="21"/>
                <w:szCs w:val="21"/>
                <w:highlight w:val="none"/>
                <w:lang w:val="en-US" w:eastAsia="zh-CN"/>
              </w:rPr>
              <w:t>4年4月30日</w:t>
            </w:r>
          </w:p>
        </w:tc>
        <w:tc>
          <w:tcPr>
            <w:tcW w:w="1095" w:type="dxa"/>
            <w:noWrap w:val="0"/>
            <w:vAlign w:val="center"/>
          </w:tcPr>
          <w:p w14:paraId="1BD144F4">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Nano-Micro Lett</w:t>
            </w:r>
            <w:r>
              <w:rPr>
                <w:rFonts w:hint="eastAsia" w:ascii="Times New Roman" w:cs="Times New Roman"/>
                <w:color w:val="auto"/>
                <w:sz w:val="21"/>
                <w:szCs w:val="21"/>
                <w:highlight w:val="none"/>
                <w:lang w:val="en-US" w:eastAsia="zh-CN"/>
              </w:rPr>
              <w:t>ers</w:t>
            </w:r>
          </w:p>
        </w:tc>
        <w:tc>
          <w:tcPr>
            <w:tcW w:w="945" w:type="dxa"/>
            <w:noWrap w:val="0"/>
            <w:vAlign w:val="center"/>
          </w:tcPr>
          <w:p w14:paraId="792CF516">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南昌航空大学、</w:t>
            </w:r>
            <w:r>
              <w:rPr>
                <w:rFonts w:hint="eastAsia" w:ascii="Times New Roman" w:cs="Times New Roman"/>
                <w:color w:val="auto"/>
                <w:sz w:val="21"/>
                <w:szCs w:val="21"/>
                <w:highlight w:val="none"/>
                <w:lang w:val="en-US" w:eastAsia="zh-CN"/>
              </w:rPr>
              <w:t>湖南理工大学、中南林业科技大学、井冈山大学</w:t>
            </w:r>
          </w:p>
        </w:tc>
        <w:tc>
          <w:tcPr>
            <w:tcW w:w="975" w:type="dxa"/>
            <w:noWrap w:val="0"/>
            <w:vAlign w:val="center"/>
          </w:tcPr>
          <w:p w14:paraId="4C2E7DD6">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default" w:ascii="Times New Roman" w:hAnsi="Times New Roman" w:eastAsia="宋体" w:cs="Times New Roman"/>
                <w:color w:val="auto"/>
                <w:sz w:val="21"/>
                <w:szCs w:val="21"/>
                <w:highlight w:val="none"/>
              </w:rPr>
              <w:t>黄湄婷</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 xml:space="preserve"> 王玫</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杨利明</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王志豪</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余浩轩</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陈克淳</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韩菲</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陈梁</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徐晨曦</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王利华</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邵鹏辉</w:t>
            </w:r>
            <w:r>
              <w:rPr>
                <w:rFonts w:hint="eastAsia" w:ascii="Times New Roman"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罗旭彪</w:t>
            </w:r>
          </w:p>
        </w:tc>
        <w:tc>
          <w:tcPr>
            <w:tcW w:w="1020" w:type="dxa"/>
            <w:noWrap w:val="0"/>
            <w:vAlign w:val="center"/>
          </w:tcPr>
          <w:p w14:paraId="54635899">
            <w:pPr>
              <w:pStyle w:val="3"/>
              <w:keepNext w:val="0"/>
              <w:keepLines w:val="0"/>
              <w:pageBreakBefore w:val="0"/>
              <w:widowControl w:val="0"/>
              <w:kinsoku/>
              <w:wordWrap/>
              <w:overflowPunct/>
              <w:topLinePunct w:val="0"/>
              <w:autoSpaceDE/>
              <w:autoSpaceDN/>
              <w:bidi w:val="0"/>
              <w:adjustRightInd/>
              <w:snapToGrid/>
              <w:spacing w:line="280" w:lineRule="exact"/>
              <w:ind w:firstLine="0" w:firstLineChars="0"/>
              <w:jc w:val="center"/>
              <w:textAlignment w:val="auto"/>
              <w:rPr>
                <w:rFonts w:ascii="Times New Roman"/>
                <w:color w:val="auto"/>
                <w:szCs w:val="22"/>
                <w:highlight w:val="none"/>
              </w:rPr>
            </w:pPr>
            <w:r>
              <w:rPr>
                <w:rFonts w:hint="eastAsia" w:ascii="Times New Roman" w:cs="Times New Roman"/>
                <w:color w:val="auto"/>
                <w:kern w:val="2"/>
                <w:sz w:val="21"/>
                <w:szCs w:val="21"/>
                <w:highlight w:val="none"/>
                <w:lang w:val="en-US" w:eastAsia="zh-CN" w:bidi="ar-SA"/>
              </w:rPr>
              <w:t>其他有效的知识</w:t>
            </w:r>
            <w:r>
              <w:rPr>
                <w:rFonts w:hint="eastAsia" w:ascii="Times New Roman" w:cs="Times New Roman"/>
                <w:color w:val="auto"/>
                <w:sz w:val="21"/>
                <w:szCs w:val="21"/>
                <w:highlight w:val="none"/>
                <w:lang w:val="en-US" w:eastAsia="zh-CN"/>
              </w:rPr>
              <w:t>产权</w:t>
            </w:r>
          </w:p>
        </w:tc>
      </w:tr>
    </w:tbl>
    <w:p w14:paraId="31A8A64E">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宋体" w:cs="Times New Roman"/>
          <w:b/>
          <w:bCs/>
          <w:color w:val="auto"/>
          <w:sz w:val="28"/>
          <w:szCs w:val="28"/>
          <w:lang w:eastAsia="zh-CN"/>
        </w:rPr>
      </w:pPr>
      <w:r>
        <w:rPr>
          <w:rFonts w:hint="eastAsia" w:cs="Times New Roman"/>
          <w:b/>
          <w:bCs/>
          <w:color w:val="auto"/>
          <w:sz w:val="28"/>
          <w:szCs w:val="28"/>
          <w:lang w:val="en-US" w:eastAsia="zh-CN"/>
        </w:rPr>
        <w:t>五、</w:t>
      </w:r>
      <w:r>
        <w:rPr>
          <w:rFonts w:ascii="Times New Roman" w:hAnsi="Times New Roman" w:eastAsia="宋体" w:cs="Times New Roman"/>
          <w:b/>
          <w:bCs/>
          <w:color w:val="auto"/>
          <w:sz w:val="28"/>
          <w:szCs w:val="28"/>
        </w:rPr>
        <w:t>主要完成人</w:t>
      </w:r>
      <w:r>
        <w:rPr>
          <w:rFonts w:hint="eastAsia" w:ascii="Times New Roman" w:hAnsi="Times New Roman" w:eastAsia="宋体" w:cs="Times New Roman"/>
          <w:b/>
          <w:bCs/>
          <w:color w:val="auto"/>
          <w:sz w:val="28"/>
          <w:szCs w:val="28"/>
          <w:lang w:eastAsia="zh-CN"/>
        </w:rPr>
        <w:t>：</w:t>
      </w:r>
      <w:r>
        <w:rPr>
          <w:rFonts w:hint="eastAsia" w:cs="Times New Roman"/>
          <w:color w:val="auto"/>
          <w:sz w:val="28"/>
          <w:szCs w:val="28"/>
          <w:lang w:val="en-US" w:eastAsia="zh-CN"/>
        </w:rPr>
        <w:t>李荐、王利华、罗旭彪、陈永志、申昆、杨利明、王志勇、艾戊云、胡孔明、孔令超</w:t>
      </w:r>
    </w:p>
    <w:p w14:paraId="0BCABE83">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宋体" w:cs="Times New Roman"/>
          <w:b/>
          <w:bCs/>
          <w:color w:val="auto"/>
          <w:sz w:val="28"/>
          <w:szCs w:val="28"/>
          <w:lang w:eastAsia="zh-CN"/>
        </w:rPr>
      </w:pPr>
      <w:r>
        <w:rPr>
          <w:rFonts w:hint="eastAsia" w:cs="Times New Roman"/>
          <w:b/>
          <w:bCs/>
          <w:color w:val="auto"/>
          <w:sz w:val="28"/>
          <w:szCs w:val="28"/>
          <w:lang w:val="en-US" w:eastAsia="zh-CN"/>
        </w:rPr>
        <w:t>六、</w:t>
      </w:r>
      <w:r>
        <w:rPr>
          <w:rFonts w:hint="eastAsia" w:ascii="Times New Roman" w:hAnsi="Times New Roman" w:eastAsia="宋体" w:cs="Times New Roman"/>
          <w:b/>
          <w:bCs/>
          <w:color w:val="auto"/>
          <w:sz w:val="28"/>
          <w:szCs w:val="28"/>
        </w:rPr>
        <w:t>主要完成单位</w:t>
      </w:r>
      <w:r>
        <w:rPr>
          <w:rFonts w:hint="eastAsia" w:ascii="Times New Roman" w:hAnsi="Times New Roman" w:eastAsia="宋体" w:cs="Times New Roman"/>
          <w:b/>
          <w:bCs/>
          <w:color w:val="auto"/>
          <w:sz w:val="28"/>
          <w:szCs w:val="28"/>
          <w:lang w:eastAsia="zh-CN"/>
        </w:rPr>
        <w:t>：</w:t>
      </w:r>
      <w:r>
        <w:rPr>
          <w:rFonts w:hint="eastAsia" w:cs="Times New Roman"/>
          <w:color w:val="auto"/>
          <w:sz w:val="28"/>
          <w:szCs w:val="28"/>
          <w:lang w:val="en-US" w:eastAsia="zh-CN"/>
        </w:rPr>
        <w:t>中南大学、湖南理工大学、湖南省正源储能材料与器件研究所、井冈山大学、南昌航空大学、湖南中科星城石墨有限公司深圳鑫茂新能源技术股份有限公司</w:t>
      </w:r>
    </w:p>
    <w:p w14:paraId="6BFC6069">
      <w:pPr>
        <w:keepNext w:val="0"/>
        <w:keepLines w:val="0"/>
        <w:pageBreakBefore w:val="0"/>
        <w:kinsoku/>
        <w:wordWrap/>
        <w:overflowPunct/>
        <w:topLinePunct w:val="0"/>
        <w:autoSpaceDE/>
        <w:autoSpaceDN/>
        <w:bidi w:val="0"/>
        <w:adjustRightInd/>
        <w:snapToGrid/>
        <w:spacing w:line="560" w:lineRule="exact"/>
        <w:textAlignment w:val="auto"/>
        <w:rPr>
          <w:rFonts w:hint="eastAsia" w:cs="Times New Roman"/>
          <w:b/>
          <w:bCs/>
          <w:color w:val="auto"/>
          <w:sz w:val="28"/>
          <w:szCs w:val="28"/>
          <w:lang w:val="en-US" w:eastAsia="zh-CN"/>
        </w:rPr>
      </w:pPr>
      <w:r>
        <w:rPr>
          <w:rFonts w:hint="eastAsia" w:cs="Times New Roman"/>
          <w:b/>
          <w:bCs/>
          <w:color w:val="auto"/>
          <w:sz w:val="28"/>
          <w:szCs w:val="28"/>
          <w:lang w:val="en-US" w:eastAsia="zh-CN"/>
        </w:rPr>
        <w:t>七、主要完成人合作关系说明（含汇总表）</w:t>
      </w:r>
    </w:p>
    <w:p w14:paraId="3915F8B0">
      <w:pPr>
        <w:keepNext w:val="0"/>
        <w:keepLines w:val="0"/>
        <w:pageBreakBefore w:val="0"/>
        <w:widowControl/>
        <w:kinsoku/>
        <w:wordWrap/>
        <w:overflowPunct/>
        <w:topLinePunct w:val="0"/>
        <w:autoSpaceDE/>
        <w:autoSpaceDN/>
        <w:bidi w:val="0"/>
        <w:adjustRightInd/>
        <w:snapToGrid/>
        <w:spacing w:line="560" w:lineRule="exact"/>
        <w:ind w:firstLine="0" w:firstLineChars="0"/>
        <w:jc w:val="both"/>
        <w:textAlignment w:val="auto"/>
        <w:outlineLvl w:val="1"/>
        <w:rPr>
          <w:rFonts w:hint="eastAsia"/>
          <w:b/>
          <w:color w:val="auto"/>
          <w:sz w:val="28"/>
          <w:highlight w:val="none"/>
          <w:lang w:eastAsia="zh-CN"/>
        </w:rPr>
      </w:pPr>
      <w:r>
        <w:rPr>
          <w:b/>
          <w:color w:val="auto"/>
          <w:sz w:val="28"/>
          <w:highlight w:val="none"/>
        </w:rPr>
        <w:t>主要完成人合作关系说明</w:t>
      </w:r>
      <w:r>
        <w:rPr>
          <w:rFonts w:hint="eastAsia"/>
          <w:b/>
          <w:color w:val="auto"/>
          <w:sz w:val="28"/>
          <w:highlight w:val="none"/>
          <w:lang w:eastAsia="zh-CN"/>
        </w:rPr>
        <w:t>：</w:t>
      </w:r>
    </w:p>
    <w:p w14:paraId="2CCB0B0B">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本人李荐作为本项目第一完成人，负责项目总体组织协调、关键技术研发及核心装备研制，并参与工程示范建设、调试与运行。项目主要完成人之间围绕退役动力锂电池回收、负极材料修复再生、正极材料再生及相关标准规范开展了直接合作，合作时间、合作方式、合作成果和证明材料如下。</w:t>
      </w:r>
    </w:p>
    <w:p w14:paraId="664C22FA">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2022年8月，本人与王利华、王志勇、胡孔明、罗旭彪、杨利明等完成人共同参与相关团体标准的编制工作，形成《锂离子电池回收利用回收及修复石墨负极》团体标准；本人还与王利华、王志勇、罗旭彪、杨利明共同参与《锂离子电池回收利用回收及修复磷酸铁锂》团体标准编制。上述合作体现了主要完成人在退役锂电池负极石墨及磷酸铁锂回收修复技术方面的协同研究，证明材料为团体标准发布稿，详见汇总表第</w:t>
      </w:r>
      <w:r>
        <w:rPr>
          <w:rFonts w:hint="eastAsia" w:cs="Times New Roman"/>
          <w:b w:val="0"/>
          <w:bCs w:val="0"/>
          <w:color w:val="auto"/>
          <w:sz w:val="28"/>
          <w:szCs w:val="28"/>
          <w:lang w:val="en-US" w:eastAsia="zh-CN"/>
        </w:rPr>
        <w:t>5</w:t>
      </w:r>
      <w:r>
        <w:rPr>
          <w:rFonts w:hint="default" w:ascii="Times New Roman" w:hAnsi="Times New Roman" w:cs="Times New Roman"/>
          <w:b w:val="0"/>
          <w:bCs w:val="0"/>
          <w:color w:val="auto"/>
          <w:sz w:val="28"/>
          <w:szCs w:val="28"/>
        </w:rPr>
        <w:t>、</w:t>
      </w:r>
      <w:r>
        <w:rPr>
          <w:rFonts w:hint="eastAsia" w:cs="Times New Roman"/>
          <w:b w:val="0"/>
          <w:bCs w:val="0"/>
          <w:color w:val="auto"/>
          <w:sz w:val="28"/>
          <w:szCs w:val="28"/>
          <w:lang w:val="en-US" w:eastAsia="zh-CN"/>
        </w:rPr>
        <w:t>6</w:t>
      </w:r>
      <w:r>
        <w:rPr>
          <w:rFonts w:hint="default" w:ascii="Times New Roman" w:hAnsi="Times New Roman" w:cs="Times New Roman"/>
          <w:b w:val="0"/>
          <w:bCs w:val="0"/>
          <w:color w:val="auto"/>
          <w:sz w:val="28"/>
          <w:szCs w:val="28"/>
        </w:rPr>
        <w:t>项。</w:t>
      </w:r>
    </w:p>
    <w:p w14:paraId="14FD5364">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2022年12月，本人与王利华共同编写《锂离子动力电池回收技术与实践》专著，围绕锂离子动力电池回收技术及实践经验开展合作总结，证明材料为专著首页</w:t>
      </w:r>
      <w:r>
        <w:rPr>
          <w:rFonts w:hint="eastAsia" w:cs="Times New Roman"/>
          <w:b w:val="0"/>
          <w:bCs w:val="0"/>
          <w:color w:val="auto"/>
          <w:sz w:val="28"/>
          <w:szCs w:val="28"/>
          <w:lang w:eastAsia="zh-CN"/>
        </w:rPr>
        <w:t>、</w:t>
      </w:r>
      <w:r>
        <w:rPr>
          <w:rFonts w:hint="default" w:ascii="Times New Roman" w:hAnsi="Times New Roman" w:cs="Times New Roman"/>
          <w:b w:val="0"/>
          <w:bCs w:val="0"/>
          <w:color w:val="auto"/>
          <w:sz w:val="28"/>
          <w:szCs w:val="28"/>
        </w:rPr>
        <w:t>版权页</w:t>
      </w:r>
      <w:r>
        <w:rPr>
          <w:rFonts w:hint="eastAsia" w:cs="Times New Roman"/>
          <w:b w:val="0"/>
          <w:bCs w:val="0"/>
          <w:color w:val="auto"/>
          <w:sz w:val="28"/>
          <w:szCs w:val="28"/>
          <w:lang w:eastAsia="zh-CN"/>
        </w:rPr>
        <w:t>、</w:t>
      </w:r>
      <w:r>
        <w:rPr>
          <w:rFonts w:hint="default" w:ascii="Times New Roman" w:hAnsi="Times New Roman" w:cs="Times New Roman"/>
          <w:b w:val="0"/>
          <w:bCs w:val="0"/>
          <w:color w:val="auto"/>
          <w:sz w:val="28"/>
          <w:szCs w:val="28"/>
        </w:rPr>
        <w:t>核心内容页和文献页，详见汇总表第</w:t>
      </w:r>
      <w:r>
        <w:rPr>
          <w:rFonts w:hint="eastAsia" w:cs="Times New Roman"/>
          <w:b w:val="0"/>
          <w:bCs w:val="0"/>
          <w:color w:val="auto"/>
          <w:sz w:val="28"/>
          <w:szCs w:val="28"/>
          <w:lang w:val="en-US" w:eastAsia="zh-CN"/>
        </w:rPr>
        <w:t>7</w:t>
      </w:r>
      <w:r>
        <w:rPr>
          <w:rFonts w:hint="default" w:ascii="Times New Roman" w:hAnsi="Times New Roman" w:cs="Times New Roman"/>
          <w:b w:val="0"/>
          <w:bCs w:val="0"/>
          <w:color w:val="auto"/>
          <w:sz w:val="28"/>
          <w:szCs w:val="28"/>
        </w:rPr>
        <w:t>项。</w:t>
      </w:r>
    </w:p>
    <w:p w14:paraId="084FA65B">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2023年2月，王利华、本人及申昆共同形成“一种退役锂离子电池负极石墨的回收再生方法”相关知识产权成果，合作内容涉及退役锂离子电池负极石墨回收再生技术，证明材料为</w:t>
      </w:r>
      <w:r>
        <w:rPr>
          <w:rFonts w:hint="eastAsia" w:cs="Times New Roman"/>
          <w:b w:val="0"/>
          <w:bCs w:val="0"/>
          <w:color w:val="auto"/>
          <w:sz w:val="28"/>
          <w:szCs w:val="28"/>
          <w:lang w:val="en-US" w:eastAsia="zh-CN"/>
        </w:rPr>
        <w:t>发明专利</w:t>
      </w:r>
      <w:r>
        <w:rPr>
          <w:rFonts w:hint="default" w:ascii="Times New Roman" w:hAnsi="Times New Roman" w:cs="Times New Roman"/>
          <w:b w:val="0"/>
          <w:bCs w:val="0"/>
          <w:color w:val="auto"/>
          <w:sz w:val="28"/>
          <w:szCs w:val="28"/>
        </w:rPr>
        <w:t>证书，详见汇总表第2项。2023年3月，本人、王利华及陈永志共同形成“一种退役NCM正极料再生NCMA正极材料的方法”相关知识产权成果，合作内容涉及退役三元正极材料再生，证明材料为</w:t>
      </w:r>
      <w:r>
        <w:rPr>
          <w:rFonts w:hint="eastAsia" w:cs="Times New Roman"/>
          <w:b w:val="0"/>
          <w:bCs w:val="0"/>
          <w:color w:val="auto"/>
          <w:sz w:val="28"/>
          <w:szCs w:val="28"/>
          <w:lang w:val="en-US" w:eastAsia="zh-CN"/>
        </w:rPr>
        <w:t>发明专利</w:t>
      </w:r>
      <w:r>
        <w:rPr>
          <w:rFonts w:hint="default" w:ascii="Times New Roman" w:hAnsi="Times New Roman" w:cs="Times New Roman"/>
          <w:b w:val="0"/>
          <w:bCs w:val="0"/>
          <w:color w:val="auto"/>
          <w:sz w:val="28"/>
          <w:szCs w:val="28"/>
        </w:rPr>
        <w:t>证书，详见汇总表第1项。</w:t>
      </w:r>
    </w:p>
    <w:p w14:paraId="548285EA">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default" w:ascii="Times New Roman" w:hAnsi="Times New Roman" w:eastAsia="宋体" w:cs="Times New Roman"/>
          <w:b w:val="0"/>
          <w:bCs w:val="0"/>
          <w:color w:val="auto"/>
          <w:sz w:val="28"/>
          <w:szCs w:val="28"/>
        </w:rPr>
      </w:pPr>
      <w:r>
        <w:rPr>
          <w:rFonts w:hint="default" w:ascii="Times New Roman" w:hAnsi="Times New Roman" w:eastAsia="宋体" w:cs="Times New Roman"/>
          <w:b w:val="0"/>
          <w:bCs w:val="0"/>
          <w:color w:val="auto"/>
          <w:sz w:val="28"/>
          <w:szCs w:val="28"/>
        </w:rPr>
        <w:t>202</w:t>
      </w:r>
      <w:r>
        <w:rPr>
          <w:rFonts w:hint="eastAsia" w:eastAsia="宋体" w:cs="Times New Roman"/>
          <w:b w:val="0"/>
          <w:bCs w:val="0"/>
          <w:color w:val="auto"/>
          <w:sz w:val="28"/>
          <w:szCs w:val="28"/>
          <w:lang w:val="en-US" w:eastAsia="zh-CN"/>
        </w:rPr>
        <w:t>0</w:t>
      </w:r>
      <w:r>
        <w:rPr>
          <w:rFonts w:hint="default" w:ascii="Times New Roman" w:hAnsi="Times New Roman" w:eastAsia="宋体" w:cs="Times New Roman"/>
          <w:b w:val="0"/>
          <w:bCs w:val="0"/>
          <w:color w:val="auto"/>
          <w:sz w:val="28"/>
          <w:szCs w:val="28"/>
        </w:rPr>
        <w:t>年</w:t>
      </w:r>
      <w:r>
        <w:rPr>
          <w:rFonts w:hint="eastAsia" w:eastAsia="宋体" w:cs="Times New Roman"/>
          <w:b w:val="0"/>
          <w:bCs w:val="0"/>
          <w:color w:val="auto"/>
          <w:sz w:val="28"/>
          <w:szCs w:val="28"/>
          <w:lang w:val="en-US" w:eastAsia="zh-CN"/>
        </w:rPr>
        <w:t>7</w:t>
      </w:r>
      <w:r>
        <w:rPr>
          <w:rFonts w:hint="default" w:ascii="Times New Roman" w:hAnsi="Times New Roman" w:eastAsia="宋体" w:cs="Times New Roman"/>
          <w:b w:val="0"/>
          <w:bCs w:val="0"/>
          <w:color w:val="auto"/>
          <w:sz w:val="28"/>
          <w:szCs w:val="28"/>
        </w:rPr>
        <w:t>月，</w:t>
      </w:r>
      <w:r>
        <w:rPr>
          <w:rFonts w:hint="eastAsia" w:eastAsia="宋体" w:cs="Times New Roman"/>
          <w:b w:val="0"/>
          <w:bCs w:val="0"/>
          <w:color w:val="auto"/>
          <w:sz w:val="28"/>
          <w:szCs w:val="28"/>
          <w:lang w:val="en-US" w:eastAsia="zh-CN"/>
        </w:rPr>
        <w:t>胡孔明</w:t>
      </w:r>
      <w:r>
        <w:rPr>
          <w:rFonts w:hint="default" w:ascii="Times New Roman" w:hAnsi="Times New Roman" w:eastAsia="宋体" w:cs="Times New Roman"/>
          <w:b w:val="0"/>
          <w:bCs w:val="0"/>
          <w:color w:val="auto"/>
          <w:sz w:val="28"/>
          <w:szCs w:val="28"/>
        </w:rPr>
        <w:t>与</w:t>
      </w:r>
      <w:r>
        <w:rPr>
          <w:rFonts w:hint="eastAsia" w:eastAsia="宋体" w:cs="Times New Roman"/>
          <w:b w:val="0"/>
          <w:bCs w:val="0"/>
          <w:color w:val="auto"/>
          <w:sz w:val="28"/>
          <w:szCs w:val="28"/>
          <w:lang w:val="en-US" w:eastAsia="zh-CN"/>
        </w:rPr>
        <w:t>王志勇</w:t>
      </w:r>
      <w:r>
        <w:rPr>
          <w:rFonts w:hint="default" w:ascii="Times New Roman" w:hAnsi="Times New Roman" w:eastAsia="宋体" w:cs="Times New Roman"/>
          <w:b w:val="0"/>
          <w:bCs w:val="0"/>
          <w:color w:val="auto"/>
          <w:sz w:val="28"/>
          <w:szCs w:val="28"/>
        </w:rPr>
        <w:t>共同形成“低晶化度包覆料及其制备方法、负极材料及锂电池负极”相关知识产权成果，体现了两位完成人在</w:t>
      </w:r>
      <w:r>
        <w:rPr>
          <w:rFonts w:hint="eastAsia" w:eastAsia="宋体" w:cs="Times New Roman"/>
          <w:b w:val="0"/>
          <w:bCs w:val="0"/>
          <w:color w:val="auto"/>
          <w:sz w:val="28"/>
          <w:szCs w:val="28"/>
          <w:lang w:val="en-US" w:eastAsia="zh-CN"/>
        </w:rPr>
        <w:t>石墨负极包覆材料</w:t>
      </w:r>
      <w:r>
        <w:rPr>
          <w:rFonts w:hint="default" w:ascii="Times New Roman" w:hAnsi="Times New Roman" w:eastAsia="宋体" w:cs="Times New Roman"/>
          <w:b w:val="0"/>
          <w:bCs w:val="0"/>
          <w:color w:val="auto"/>
          <w:sz w:val="28"/>
          <w:szCs w:val="28"/>
        </w:rPr>
        <w:t>方面的直接合作，证明材料为</w:t>
      </w:r>
      <w:r>
        <w:rPr>
          <w:rFonts w:hint="eastAsia" w:ascii="Times New Roman" w:hAnsi="Times New Roman" w:eastAsia="宋体" w:cs="Times New Roman"/>
          <w:b w:val="0"/>
          <w:bCs w:val="0"/>
          <w:color w:val="auto"/>
          <w:sz w:val="28"/>
          <w:szCs w:val="28"/>
          <w:lang w:val="en-US" w:eastAsia="zh-CN"/>
        </w:rPr>
        <w:t>发明专利</w:t>
      </w:r>
      <w:r>
        <w:rPr>
          <w:rFonts w:hint="default" w:ascii="Times New Roman" w:hAnsi="Times New Roman" w:eastAsia="宋体" w:cs="Times New Roman"/>
          <w:b w:val="0"/>
          <w:bCs w:val="0"/>
          <w:color w:val="auto"/>
          <w:sz w:val="28"/>
          <w:szCs w:val="28"/>
        </w:rPr>
        <w:t>证书，详见汇总表第</w:t>
      </w:r>
      <w:r>
        <w:rPr>
          <w:rFonts w:hint="eastAsia" w:eastAsia="宋体" w:cs="Times New Roman"/>
          <w:b w:val="0"/>
          <w:bCs w:val="0"/>
          <w:color w:val="auto"/>
          <w:sz w:val="28"/>
          <w:szCs w:val="28"/>
          <w:lang w:val="en-US" w:eastAsia="zh-CN"/>
        </w:rPr>
        <w:t>4</w:t>
      </w:r>
      <w:r>
        <w:rPr>
          <w:rFonts w:hint="default" w:ascii="Times New Roman" w:hAnsi="Times New Roman" w:eastAsia="宋体" w:cs="Times New Roman"/>
          <w:b w:val="0"/>
          <w:bCs w:val="0"/>
          <w:color w:val="auto"/>
          <w:sz w:val="28"/>
          <w:szCs w:val="28"/>
        </w:rPr>
        <w:t>项。</w:t>
      </w:r>
    </w:p>
    <w:p w14:paraId="6B3F9DAC">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default" w:ascii="Times New Roman" w:hAnsi="Times New Roman" w:cs="Times New Roman"/>
          <w:b w:val="0"/>
          <w:bCs w:val="0"/>
          <w:color w:val="auto"/>
          <w:sz w:val="28"/>
          <w:szCs w:val="28"/>
        </w:rPr>
      </w:pPr>
      <w:r>
        <w:rPr>
          <w:rFonts w:hint="default" w:ascii="Times New Roman" w:hAnsi="Times New Roman" w:cs="Times New Roman"/>
          <w:b w:val="0"/>
          <w:bCs w:val="0"/>
          <w:color w:val="auto"/>
          <w:sz w:val="28"/>
          <w:szCs w:val="28"/>
        </w:rPr>
        <w:t>2024年4月，杨利明、王利华、罗旭彪共同参与论文《Direct Regeneration of Spent Lithium-Ion Battery Cathodes: From Theoretical Study to Production Practice》的研究与撰写，围绕废旧锂离子电池正极材料直接再生的理论研究与生产实践开展合作，证明材料为论文全文，详见汇总表第</w:t>
      </w:r>
      <w:r>
        <w:rPr>
          <w:rFonts w:hint="eastAsia" w:cs="Times New Roman"/>
          <w:b w:val="0"/>
          <w:bCs w:val="0"/>
          <w:color w:val="auto"/>
          <w:sz w:val="28"/>
          <w:szCs w:val="28"/>
          <w:lang w:val="en-US" w:eastAsia="zh-CN"/>
        </w:rPr>
        <w:t>8</w:t>
      </w:r>
      <w:r>
        <w:rPr>
          <w:rFonts w:hint="default" w:ascii="Times New Roman" w:hAnsi="Times New Roman" w:cs="Times New Roman"/>
          <w:b w:val="0"/>
          <w:bCs w:val="0"/>
          <w:color w:val="auto"/>
          <w:sz w:val="28"/>
          <w:szCs w:val="28"/>
        </w:rPr>
        <w:t>项。</w:t>
      </w:r>
    </w:p>
    <w:p w14:paraId="10804E9C">
      <w:pPr>
        <w:keepNext w:val="0"/>
        <w:keepLines w:val="0"/>
        <w:pageBreakBefore w:val="0"/>
        <w:kinsoku/>
        <w:wordWrap/>
        <w:overflowPunct/>
        <w:topLinePunct w:val="0"/>
        <w:autoSpaceDE/>
        <w:autoSpaceDN/>
        <w:bidi w:val="0"/>
        <w:adjustRightInd w:val="0"/>
        <w:snapToGrid w:val="0"/>
        <w:spacing w:line="560" w:lineRule="atLeast"/>
        <w:ind w:firstLine="560" w:firstLineChars="200"/>
        <w:textAlignment w:val="auto"/>
        <w:rPr>
          <w:rFonts w:hint="eastAsia"/>
          <w:b w:val="0"/>
          <w:bCs w:val="0"/>
          <w:color w:val="auto"/>
          <w:sz w:val="28"/>
          <w:szCs w:val="28"/>
        </w:rPr>
      </w:pPr>
      <w:r>
        <w:rPr>
          <w:rFonts w:hint="default" w:ascii="Times New Roman" w:hAnsi="Times New Roman" w:cs="Times New Roman"/>
          <w:b w:val="0"/>
          <w:bCs w:val="0"/>
          <w:color w:val="auto"/>
          <w:sz w:val="28"/>
          <w:szCs w:val="28"/>
        </w:rPr>
        <w:t>2024年8月，艾戊云与孔令超共同形成“一种退役镍钴锰酸锂电池负极石墨的回收再利用方法”相关知识产权成果，体现了两位完成人在退役锂电池负极石墨回收再利用方面的直接合作，证明材料为</w:t>
      </w:r>
      <w:r>
        <w:rPr>
          <w:rFonts w:hint="eastAsia" w:cs="Times New Roman"/>
          <w:b w:val="0"/>
          <w:bCs w:val="0"/>
          <w:color w:val="auto"/>
          <w:sz w:val="28"/>
          <w:szCs w:val="28"/>
          <w:lang w:val="en-US" w:eastAsia="zh-CN"/>
        </w:rPr>
        <w:t>发明专利</w:t>
      </w:r>
      <w:r>
        <w:rPr>
          <w:rFonts w:hint="default" w:ascii="Times New Roman" w:hAnsi="Times New Roman" w:cs="Times New Roman"/>
          <w:b w:val="0"/>
          <w:bCs w:val="0"/>
          <w:color w:val="auto"/>
          <w:sz w:val="28"/>
          <w:szCs w:val="28"/>
        </w:rPr>
        <w:t>证书，详见汇总表第3项。</w:t>
      </w:r>
    </w:p>
    <w:p w14:paraId="73D8FE08">
      <w:pPr>
        <w:pStyle w:val="3"/>
        <w:keepNext w:val="0"/>
        <w:keepLines w:val="0"/>
        <w:pageBreakBefore w:val="0"/>
        <w:widowControl w:val="0"/>
        <w:kinsoku/>
        <w:wordWrap/>
        <w:overflowPunct/>
        <w:topLinePunct w:val="0"/>
        <w:autoSpaceDE/>
        <w:autoSpaceDN/>
        <w:bidi w:val="0"/>
        <w:adjustRightInd w:val="0"/>
        <w:snapToGrid/>
        <w:spacing w:line="560" w:lineRule="atLeast"/>
        <w:ind w:firstLine="422"/>
        <w:textAlignment w:val="auto"/>
        <w:rPr>
          <w:rFonts w:hint="eastAsia" w:ascii="Times New Roman"/>
          <w:b/>
          <w:bCs/>
          <w:color w:val="auto"/>
          <w:sz w:val="28"/>
          <w:szCs w:val="28"/>
        </w:rPr>
      </w:pPr>
      <w:bookmarkStart w:id="0" w:name="_Hlk205198322"/>
    </w:p>
    <w:p w14:paraId="77D9AAD6">
      <w:pPr>
        <w:pStyle w:val="3"/>
        <w:keepNext w:val="0"/>
        <w:keepLines w:val="0"/>
        <w:pageBreakBefore w:val="0"/>
        <w:widowControl w:val="0"/>
        <w:kinsoku/>
        <w:wordWrap/>
        <w:overflowPunct/>
        <w:topLinePunct w:val="0"/>
        <w:autoSpaceDE/>
        <w:autoSpaceDN/>
        <w:bidi w:val="0"/>
        <w:adjustRightInd w:val="0"/>
        <w:snapToGrid/>
        <w:spacing w:line="560" w:lineRule="atLeast"/>
        <w:ind w:firstLine="422"/>
        <w:textAlignment w:val="auto"/>
        <w:rPr>
          <w:rFonts w:hint="eastAsia" w:ascii="Times New Roman"/>
          <w:b/>
          <w:bCs/>
          <w:color w:val="auto"/>
          <w:sz w:val="28"/>
          <w:szCs w:val="28"/>
        </w:rPr>
      </w:pPr>
    </w:p>
    <w:bookmarkEnd w:id="0"/>
    <w:p w14:paraId="29916B0A">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1"/>
        <w:rPr>
          <w:b/>
          <w:color w:val="auto"/>
          <w:sz w:val="28"/>
          <w:highlight w:val="none"/>
        </w:rPr>
      </w:pPr>
    </w:p>
    <w:p w14:paraId="49B83C2F">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1"/>
        <w:rPr>
          <w:b/>
          <w:color w:val="auto"/>
          <w:sz w:val="28"/>
          <w:highlight w:val="none"/>
        </w:rPr>
      </w:pPr>
    </w:p>
    <w:p w14:paraId="6F9DA888">
      <w:pPr>
        <w:keepNext w:val="0"/>
        <w:keepLines w:val="0"/>
        <w:pageBreakBefore w:val="0"/>
        <w:widowControl/>
        <w:kinsoku/>
        <w:wordWrap/>
        <w:overflowPunct/>
        <w:topLinePunct w:val="0"/>
        <w:autoSpaceDE/>
        <w:autoSpaceDN/>
        <w:bidi w:val="0"/>
        <w:adjustRightInd/>
        <w:snapToGrid/>
        <w:spacing w:line="560" w:lineRule="exact"/>
        <w:ind w:firstLine="0" w:firstLineChars="0"/>
        <w:jc w:val="center"/>
        <w:textAlignment w:val="auto"/>
        <w:outlineLvl w:val="1"/>
        <w:rPr>
          <w:b/>
          <w:color w:val="auto"/>
          <w:sz w:val="28"/>
          <w:highlight w:val="none"/>
        </w:rPr>
      </w:pPr>
      <w:r>
        <w:rPr>
          <w:b/>
          <w:color w:val="auto"/>
          <w:sz w:val="28"/>
          <w:highlight w:val="none"/>
        </w:rPr>
        <w:t>主要完成人合作关系情况汇总表</w:t>
      </w:r>
    </w:p>
    <w:tbl>
      <w:tblPr>
        <w:tblStyle w:val="4"/>
        <w:tblW w:w="87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9"/>
        <w:gridCol w:w="1278"/>
        <w:gridCol w:w="1384"/>
        <w:gridCol w:w="1191"/>
        <w:gridCol w:w="1703"/>
        <w:gridCol w:w="1128"/>
        <w:gridCol w:w="1197"/>
      </w:tblGrid>
      <w:tr w14:paraId="054CA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87" w:hRule="atLeast"/>
          <w:jc w:val="center"/>
        </w:trPr>
        <w:tc>
          <w:tcPr>
            <w:tcW w:w="819" w:type="dxa"/>
            <w:noWrap w:val="0"/>
            <w:vAlign w:val="center"/>
          </w:tcPr>
          <w:p w14:paraId="024C85BF">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序号</w:t>
            </w:r>
          </w:p>
        </w:tc>
        <w:tc>
          <w:tcPr>
            <w:tcW w:w="1278" w:type="dxa"/>
            <w:noWrap w:val="0"/>
            <w:vAlign w:val="center"/>
          </w:tcPr>
          <w:p w14:paraId="4EC4DBB1">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合作方式</w:t>
            </w:r>
          </w:p>
        </w:tc>
        <w:tc>
          <w:tcPr>
            <w:tcW w:w="1384" w:type="dxa"/>
            <w:noWrap w:val="0"/>
            <w:vAlign w:val="center"/>
          </w:tcPr>
          <w:p w14:paraId="1AE6D776">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合作者/排名</w:t>
            </w:r>
          </w:p>
        </w:tc>
        <w:tc>
          <w:tcPr>
            <w:tcW w:w="1191" w:type="dxa"/>
            <w:noWrap w:val="0"/>
            <w:vAlign w:val="center"/>
          </w:tcPr>
          <w:p w14:paraId="0308BDF7">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合作时间</w:t>
            </w:r>
          </w:p>
        </w:tc>
        <w:tc>
          <w:tcPr>
            <w:tcW w:w="1703" w:type="dxa"/>
            <w:noWrap w:val="0"/>
            <w:vAlign w:val="center"/>
          </w:tcPr>
          <w:p w14:paraId="21EBD0E3">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合作成果</w:t>
            </w:r>
          </w:p>
        </w:tc>
        <w:tc>
          <w:tcPr>
            <w:tcW w:w="1128" w:type="dxa"/>
            <w:noWrap w:val="0"/>
            <w:vAlign w:val="center"/>
          </w:tcPr>
          <w:p w14:paraId="50D52C0E">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证明材料</w:t>
            </w:r>
          </w:p>
        </w:tc>
        <w:tc>
          <w:tcPr>
            <w:tcW w:w="1197" w:type="dxa"/>
            <w:noWrap w:val="0"/>
            <w:vAlign w:val="center"/>
          </w:tcPr>
          <w:p w14:paraId="124726B0">
            <w:pPr>
              <w:keepNext w:val="0"/>
              <w:keepLines w:val="0"/>
              <w:pageBreakBefore w:val="0"/>
              <w:widowControl w:val="0"/>
              <w:kinsoku/>
              <w:wordWrap/>
              <w:overflowPunct/>
              <w:topLinePunct w:val="0"/>
              <w:autoSpaceDE/>
              <w:autoSpaceDN/>
              <w:bidi w:val="0"/>
              <w:adjustRightInd/>
              <w:snapToGrid/>
              <w:spacing w:before="120" w:beforeLines="50" w:after="120" w:afterLines="50" w:line="280" w:lineRule="exact"/>
              <w:jc w:val="center"/>
              <w:textAlignment w:val="auto"/>
              <w:rPr>
                <w:color w:val="auto"/>
                <w:sz w:val="21"/>
                <w:szCs w:val="21"/>
                <w:highlight w:val="none"/>
              </w:rPr>
            </w:pPr>
            <w:r>
              <w:rPr>
                <w:rFonts w:hint="eastAsia"/>
                <w:color w:val="auto"/>
                <w:sz w:val="21"/>
                <w:szCs w:val="21"/>
                <w:highlight w:val="none"/>
              </w:rPr>
              <w:t>备注</w:t>
            </w:r>
          </w:p>
        </w:tc>
      </w:tr>
      <w:tr w14:paraId="4D1DF8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4" w:hRule="atLeast"/>
          <w:jc w:val="center"/>
        </w:trPr>
        <w:tc>
          <w:tcPr>
            <w:tcW w:w="819" w:type="dxa"/>
            <w:noWrap w:val="0"/>
            <w:vAlign w:val="center"/>
          </w:tcPr>
          <w:p w14:paraId="732CD830">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1</w:t>
            </w:r>
          </w:p>
        </w:tc>
        <w:tc>
          <w:tcPr>
            <w:tcW w:w="1278" w:type="dxa"/>
            <w:noWrap w:val="0"/>
            <w:vAlign w:val="center"/>
          </w:tcPr>
          <w:p w14:paraId="1BE07750">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eastAsia="宋体"/>
                <w:color w:val="auto"/>
                <w:sz w:val="24"/>
                <w:szCs w:val="24"/>
                <w:highlight w:val="none"/>
                <w:lang w:val="en-US" w:eastAsia="zh-CN"/>
              </w:rPr>
            </w:pPr>
            <w:r>
              <w:rPr>
                <w:rFonts w:hint="default" w:ascii="Times New Roman Regular" w:hAnsi="Times New Roman Regular" w:eastAsia="宋体" w:cs="Times New Roman Regular"/>
                <w:color w:val="auto"/>
                <w:szCs w:val="21"/>
                <w:lang w:bidi="ar"/>
              </w:rPr>
              <w:t>共同知识产权</w:t>
            </w:r>
          </w:p>
        </w:tc>
        <w:tc>
          <w:tcPr>
            <w:tcW w:w="1384" w:type="dxa"/>
            <w:noWrap w:val="0"/>
            <w:vAlign w:val="center"/>
          </w:tcPr>
          <w:p w14:paraId="54EC5DD8">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color w:val="auto"/>
                <w:sz w:val="24"/>
                <w:szCs w:val="24"/>
                <w:highlight w:val="none"/>
                <w:lang w:val="en-US"/>
              </w:rPr>
            </w:pPr>
            <w:r>
              <w:rPr>
                <w:rFonts w:hint="default" w:ascii="Times New Roman Regular" w:hAnsi="Times New Roman Regular" w:eastAsia="宋体" w:cs="Times New Roman Regular"/>
                <w:color w:val="auto"/>
                <w:szCs w:val="21"/>
                <w:lang w:bidi="ar"/>
              </w:rPr>
              <w:t>李荐（1）；王利华（2）；陈永志（5）</w:t>
            </w:r>
          </w:p>
        </w:tc>
        <w:tc>
          <w:tcPr>
            <w:tcW w:w="1191" w:type="dxa"/>
            <w:noWrap w:val="0"/>
            <w:vAlign w:val="center"/>
          </w:tcPr>
          <w:p w14:paraId="3BE110B9">
            <w:pPr>
              <w:keepNext w:val="0"/>
              <w:keepLines w:val="0"/>
              <w:pageBreakBefore w:val="0"/>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2023年03月</w:t>
            </w:r>
          </w:p>
        </w:tc>
        <w:tc>
          <w:tcPr>
            <w:tcW w:w="1703" w:type="dxa"/>
            <w:noWrap w:val="0"/>
            <w:vAlign w:val="center"/>
          </w:tcPr>
          <w:p w14:paraId="4F6F9D4C">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一种退役NCM正极料再生NCMA正极材料的方法</w:t>
            </w:r>
          </w:p>
        </w:tc>
        <w:tc>
          <w:tcPr>
            <w:tcW w:w="1128" w:type="dxa"/>
            <w:noWrap w:val="0"/>
            <w:vAlign w:val="center"/>
          </w:tcPr>
          <w:p w14:paraId="77E89844">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eastAsia="宋体"/>
                <w:color w:val="auto"/>
                <w:sz w:val="24"/>
                <w:szCs w:val="24"/>
                <w:highlight w:val="none"/>
                <w:lang w:val="en-US" w:eastAsia="zh-CN"/>
              </w:rPr>
            </w:pPr>
            <w:r>
              <w:rPr>
                <w:rFonts w:hint="eastAsia" w:ascii="Times New Roman Regular" w:hAnsi="Times New Roman Regular" w:cs="Times New Roman Regular"/>
                <w:color w:val="auto"/>
                <w:szCs w:val="21"/>
                <w:lang w:val="en-US" w:eastAsia="zh-CN"/>
              </w:rPr>
              <w:t>发明专利证书</w:t>
            </w:r>
          </w:p>
        </w:tc>
        <w:tc>
          <w:tcPr>
            <w:tcW w:w="1197" w:type="dxa"/>
            <w:noWrap w:val="0"/>
            <w:vAlign w:val="center"/>
          </w:tcPr>
          <w:p w14:paraId="4CC74817">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2"/>
              </w:rPr>
              <w:t>中南大学</w:t>
            </w:r>
          </w:p>
        </w:tc>
      </w:tr>
      <w:tr w14:paraId="46B4A1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4" w:hRule="atLeast"/>
          <w:jc w:val="center"/>
        </w:trPr>
        <w:tc>
          <w:tcPr>
            <w:tcW w:w="819" w:type="dxa"/>
            <w:noWrap w:val="0"/>
            <w:vAlign w:val="center"/>
          </w:tcPr>
          <w:p w14:paraId="0B66BFC7">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2</w:t>
            </w:r>
          </w:p>
        </w:tc>
        <w:tc>
          <w:tcPr>
            <w:tcW w:w="1278" w:type="dxa"/>
            <w:noWrap w:val="0"/>
            <w:vAlign w:val="center"/>
          </w:tcPr>
          <w:p w14:paraId="5B9E59C9">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共同知识产权</w:t>
            </w:r>
          </w:p>
        </w:tc>
        <w:tc>
          <w:tcPr>
            <w:tcW w:w="1384" w:type="dxa"/>
            <w:noWrap w:val="0"/>
            <w:vAlign w:val="center"/>
          </w:tcPr>
          <w:p w14:paraId="34BD9606">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王利华（1）；李荐（2）；申昆（5）</w:t>
            </w:r>
          </w:p>
        </w:tc>
        <w:tc>
          <w:tcPr>
            <w:tcW w:w="1191" w:type="dxa"/>
            <w:noWrap w:val="0"/>
            <w:vAlign w:val="center"/>
          </w:tcPr>
          <w:p w14:paraId="1E120D23">
            <w:pPr>
              <w:keepNext w:val="0"/>
              <w:keepLines w:val="0"/>
              <w:pageBreakBefore w:val="0"/>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2023年02月</w:t>
            </w:r>
          </w:p>
        </w:tc>
        <w:tc>
          <w:tcPr>
            <w:tcW w:w="1703" w:type="dxa"/>
            <w:noWrap w:val="0"/>
            <w:vAlign w:val="center"/>
          </w:tcPr>
          <w:p w14:paraId="319AAE61">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一种退役锂离子电池负极石墨的回收再生方法</w:t>
            </w:r>
          </w:p>
        </w:tc>
        <w:tc>
          <w:tcPr>
            <w:tcW w:w="1128" w:type="dxa"/>
            <w:noWrap w:val="0"/>
            <w:vAlign w:val="center"/>
          </w:tcPr>
          <w:p w14:paraId="76F1E247">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eastAsia="宋体"/>
                <w:color w:val="auto"/>
                <w:sz w:val="24"/>
                <w:szCs w:val="24"/>
                <w:highlight w:val="none"/>
                <w:lang w:val="en-US" w:eastAsia="zh-CN"/>
              </w:rPr>
            </w:pPr>
            <w:r>
              <w:rPr>
                <w:rFonts w:hint="eastAsia" w:ascii="Times New Roman Regular" w:hAnsi="Times New Roman Regular" w:cs="Times New Roman Regular"/>
                <w:color w:val="auto"/>
                <w:szCs w:val="21"/>
                <w:lang w:val="en-US" w:eastAsia="zh-CN"/>
              </w:rPr>
              <w:t>发明专利证书</w:t>
            </w:r>
          </w:p>
        </w:tc>
        <w:tc>
          <w:tcPr>
            <w:tcW w:w="1197" w:type="dxa"/>
            <w:noWrap w:val="0"/>
            <w:vAlign w:val="center"/>
          </w:tcPr>
          <w:p w14:paraId="7BDD38B3">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rPr>
              <w:t>湖南省正源储能材料与器件研究所</w:t>
            </w:r>
          </w:p>
        </w:tc>
      </w:tr>
      <w:tr w14:paraId="3B926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4" w:hRule="atLeast"/>
          <w:jc w:val="center"/>
        </w:trPr>
        <w:tc>
          <w:tcPr>
            <w:tcW w:w="819" w:type="dxa"/>
            <w:noWrap w:val="0"/>
            <w:vAlign w:val="center"/>
          </w:tcPr>
          <w:p w14:paraId="736BC66E">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3</w:t>
            </w:r>
          </w:p>
        </w:tc>
        <w:tc>
          <w:tcPr>
            <w:tcW w:w="1278" w:type="dxa"/>
            <w:noWrap w:val="0"/>
            <w:vAlign w:val="center"/>
          </w:tcPr>
          <w:p w14:paraId="3DC4AC39">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共同知识产权</w:t>
            </w:r>
          </w:p>
        </w:tc>
        <w:tc>
          <w:tcPr>
            <w:tcW w:w="1384" w:type="dxa"/>
            <w:noWrap w:val="0"/>
            <w:vAlign w:val="center"/>
          </w:tcPr>
          <w:p w14:paraId="1AA2B2EE">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艾戊云</w:t>
            </w:r>
            <w:r>
              <w:rPr>
                <w:rFonts w:hint="eastAsia" w:ascii="Times New Roman Regular" w:hAnsi="Times New Roman Regular" w:cs="Times New Roman Regular"/>
                <w:color w:val="auto"/>
                <w:szCs w:val="21"/>
                <w:lang w:eastAsia="zh-CN" w:bidi="ar"/>
              </w:rPr>
              <w:t>（</w:t>
            </w:r>
            <w:r>
              <w:rPr>
                <w:rFonts w:hint="eastAsia" w:ascii="Times New Roman Regular" w:hAnsi="Times New Roman Regular" w:cs="Times New Roman Regular"/>
                <w:color w:val="auto"/>
                <w:szCs w:val="21"/>
                <w:lang w:val="en-US" w:eastAsia="zh-CN" w:bidi="ar"/>
              </w:rPr>
              <w:t>1</w:t>
            </w:r>
            <w:r>
              <w:rPr>
                <w:rFonts w:hint="eastAsia" w:ascii="Times New Roman Regular" w:hAnsi="Times New Roman Regular" w:cs="Times New Roman Regular"/>
                <w:color w:val="auto"/>
                <w:szCs w:val="21"/>
                <w:lang w:eastAsia="zh-CN" w:bidi="ar"/>
              </w:rPr>
              <w:t>）</w:t>
            </w:r>
            <w:r>
              <w:rPr>
                <w:rFonts w:hint="default" w:ascii="Times New Roman Regular" w:hAnsi="Times New Roman Regular" w:eastAsia="宋体" w:cs="Times New Roman Regular"/>
                <w:color w:val="auto"/>
                <w:szCs w:val="21"/>
                <w:lang w:bidi="ar"/>
              </w:rPr>
              <w:t>;孔令超</w:t>
            </w:r>
            <w:r>
              <w:rPr>
                <w:rFonts w:hint="eastAsia" w:ascii="Times New Roman Regular" w:hAnsi="Times New Roman Regular" w:cs="Times New Roman Regular"/>
                <w:color w:val="auto"/>
                <w:szCs w:val="21"/>
                <w:lang w:eastAsia="zh-CN" w:bidi="ar"/>
              </w:rPr>
              <w:t>（</w:t>
            </w:r>
            <w:r>
              <w:rPr>
                <w:rFonts w:hint="eastAsia" w:ascii="Times New Roman Regular" w:hAnsi="Times New Roman Regular" w:cs="Times New Roman Regular"/>
                <w:color w:val="auto"/>
                <w:szCs w:val="21"/>
                <w:lang w:val="en-US" w:eastAsia="zh-CN" w:bidi="ar"/>
              </w:rPr>
              <w:t>2</w:t>
            </w:r>
            <w:r>
              <w:rPr>
                <w:rFonts w:hint="eastAsia" w:ascii="Times New Roman Regular" w:hAnsi="Times New Roman Regular" w:cs="Times New Roman Regular"/>
                <w:color w:val="auto"/>
                <w:szCs w:val="21"/>
                <w:lang w:eastAsia="zh-CN" w:bidi="ar"/>
              </w:rPr>
              <w:t>）</w:t>
            </w:r>
          </w:p>
        </w:tc>
        <w:tc>
          <w:tcPr>
            <w:tcW w:w="1191" w:type="dxa"/>
            <w:noWrap w:val="0"/>
            <w:vAlign w:val="center"/>
          </w:tcPr>
          <w:p w14:paraId="10054AA3">
            <w:pPr>
              <w:keepNext w:val="0"/>
              <w:keepLines w:val="0"/>
              <w:pageBreakBefore w:val="0"/>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2024年08月</w:t>
            </w:r>
          </w:p>
        </w:tc>
        <w:tc>
          <w:tcPr>
            <w:tcW w:w="1703" w:type="dxa"/>
            <w:noWrap w:val="0"/>
            <w:vAlign w:val="center"/>
          </w:tcPr>
          <w:p w14:paraId="53F54F41">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一种退役镍钴锰酸锂电池负极石墨的回收再利用方法</w:t>
            </w:r>
          </w:p>
        </w:tc>
        <w:tc>
          <w:tcPr>
            <w:tcW w:w="1128" w:type="dxa"/>
            <w:noWrap w:val="0"/>
            <w:vAlign w:val="center"/>
          </w:tcPr>
          <w:p w14:paraId="6C6CA29C">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color w:val="auto"/>
                <w:sz w:val="24"/>
                <w:szCs w:val="24"/>
                <w:highlight w:val="none"/>
                <w:lang w:val="en-US"/>
              </w:rPr>
            </w:pPr>
            <w:r>
              <w:rPr>
                <w:rFonts w:hint="eastAsia" w:ascii="Times New Roman Regular" w:hAnsi="Times New Roman Regular" w:cs="Times New Roman Regular"/>
                <w:color w:val="auto"/>
                <w:szCs w:val="21"/>
                <w:lang w:val="en-US" w:eastAsia="zh-CN"/>
              </w:rPr>
              <w:t>发明专利证书</w:t>
            </w:r>
          </w:p>
        </w:tc>
        <w:tc>
          <w:tcPr>
            <w:tcW w:w="1197" w:type="dxa"/>
            <w:noWrap w:val="0"/>
            <w:vAlign w:val="center"/>
          </w:tcPr>
          <w:p w14:paraId="3B231D1C">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rPr>
              <w:t>深圳鑫茂新能源技术股份有限公司</w:t>
            </w:r>
          </w:p>
        </w:tc>
      </w:tr>
      <w:tr w14:paraId="4A661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4" w:hRule="atLeast"/>
          <w:jc w:val="center"/>
        </w:trPr>
        <w:tc>
          <w:tcPr>
            <w:tcW w:w="819" w:type="dxa"/>
            <w:noWrap w:val="0"/>
            <w:vAlign w:val="center"/>
          </w:tcPr>
          <w:p w14:paraId="31A16991">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ascii="Times New Roman Regular" w:hAnsi="Times New Roman Regular" w:cs="Times New Roman Regular"/>
                <w:color w:val="auto"/>
                <w:szCs w:val="21"/>
                <w:lang w:val="en-US" w:eastAsia="zh-CN" w:bidi="ar"/>
              </w:rPr>
            </w:pPr>
            <w:r>
              <w:rPr>
                <w:rFonts w:hint="eastAsia" w:ascii="Times New Roman Regular" w:hAnsi="Times New Roman Regular" w:cs="Times New Roman Regular"/>
                <w:color w:val="auto"/>
                <w:szCs w:val="21"/>
                <w:lang w:val="en-US" w:eastAsia="zh-CN" w:bidi="ar"/>
              </w:rPr>
              <w:t>4</w:t>
            </w:r>
          </w:p>
        </w:tc>
        <w:tc>
          <w:tcPr>
            <w:tcW w:w="1278" w:type="dxa"/>
            <w:noWrap w:val="0"/>
            <w:vAlign w:val="center"/>
          </w:tcPr>
          <w:p w14:paraId="7C7F2F8A">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ascii="Times New Roman Regular" w:hAnsi="Times New Roman Regular" w:eastAsia="宋体" w:cs="Times New Roman Regular"/>
                <w:color w:val="auto"/>
                <w:szCs w:val="21"/>
                <w:lang w:val="en-US" w:eastAsia="zh-CN" w:bidi="ar"/>
              </w:rPr>
            </w:pPr>
            <w:r>
              <w:rPr>
                <w:rFonts w:hint="eastAsia" w:ascii="Times New Roman Regular" w:hAnsi="Times New Roman Regular" w:cs="Times New Roman Regular"/>
                <w:color w:val="auto"/>
                <w:szCs w:val="21"/>
                <w:lang w:val="en-US" w:eastAsia="zh-CN" w:bidi="ar"/>
              </w:rPr>
              <w:t>共同知识产权</w:t>
            </w:r>
          </w:p>
        </w:tc>
        <w:tc>
          <w:tcPr>
            <w:tcW w:w="1384" w:type="dxa"/>
            <w:noWrap w:val="0"/>
            <w:vAlign w:val="center"/>
          </w:tcPr>
          <w:p w14:paraId="78B59819">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ascii="Times New Roman Regular" w:hAnsi="Times New Roman Regular" w:eastAsia="宋体" w:cs="Times New Roman Regular"/>
                <w:color w:val="auto"/>
                <w:szCs w:val="21"/>
                <w:lang w:val="en-US" w:eastAsia="zh-CN" w:bidi="ar"/>
              </w:rPr>
            </w:pPr>
            <w:r>
              <w:rPr>
                <w:rFonts w:hint="default" w:ascii="Times New Roman Regular" w:hAnsi="Times New Roman Regular" w:eastAsia="宋体" w:cs="Times New Roman Regular"/>
                <w:color w:val="auto"/>
                <w:szCs w:val="21"/>
                <w:lang w:bidi="ar"/>
              </w:rPr>
              <w:t>胡孔明（2）</w:t>
            </w:r>
            <w:r>
              <w:rPr>
                <w:rFonts w:hint="eastAsia" w:ascii="Times New Roman Regular" w:hAnsi="Times New Roman Regular" w:cs="Times New Roman Regular"/>
                <w:color w:val="auto"/>
                <w:szCs w:val="21"/>
                <w:lang w:eastAsia="zh-CN" w:bidi="ar"/>
              </w:rPr>
              <w:t>；</w:t>
            </w:r>
            <w:r>
              <w:rPr>
                <w:rFonts w:hint="eastAsia" w:ascii="Times New Roman Regular" w:hAnsi="Times New Roman Regular" w:cs="Times New Roman Regular"/>
                <w:color w:val="auto"/>
                <w:szCs w:val="21"/>
                <w:lang w:val="en-US" w:eastAsia="zh-CN" w:bidi="ar"/>
              </w:rPr>
              <w:t>王志勇（3）</w:t>
            </w:r>
          </w:p>
        </w:tc>
        <w:tc>
          <w:tcPr>
            <w:tcW w:w="1191" w:type="dxa"/>
            <w:noWrap w:val="0"/>
            <w:vAlign w:val="center"/>
          </w:tcPr>
          <w:p w14:paraId="63253063">
            <w:pPr>
              <w:keepNext w:val="0"/>
              <w:keepLines w:val="0"/>
              <w:pageBreakBefore w:val="0"/>
              <w:kinsoku/>
              <w:wordWrap/>
              <w:overflowPunct/>
              <w:topLinePunct w:val="0"/>
              <w:autoSpaceDE/>
              <w:autoSpaceDN/>
              <w:bidi w:val="0"/>
              <w:adjustRightInd/>
              <w:snapToGrid/>
              <w:spacing w:beforeAutospacing="0" w:afterAutospacing="0" w:line="280" w:lineRule="exact"/>
              <w:jc w:val="center"/>
              <w:textAlignment w:val="auto"/>
              <w:rPr>
                <w:rFonts w:hint="default" w:ascii="Times New Roman Regular" w:hAnsi="Times New Roman Regular" w:eastAsia="宋体" w:cs="Times New Roman Regular"/>
                <w:color w:val="auto"/>
                <w:szCs w:val="21"/>
                <w:lang w:val="en-US" w:eastAsia="zh-CN" w:bidi="ar"/>
              </w:rPr>
            </w:pPr>
            <w:r>
              <w:rPr>
                <w:rFonts w:hint="eastAsia" w:ascii="Times New Roman Regular" w:hAnsi="Times New Roman Regular" w:cs="Times New Roman Regular"/>
                <w:color w:val="auto"/>
                <w:szCs w:val="21"/>
                <w:lang w:val="en-US" w:eastAsia="zh-CN" w:bidi="ar"/>
              </w:rPr>
              <w:t>2020年07月</w:t>
            </w:r>
          </w:p>
        </w:tc>
        <w:tc>
          <w:tcPr>
            <w:tcW w:w="1703" w:type="dxa"/>
            <w:noWrap w:val="0"/>
            <w:vAlign w:val="center"/>
          </w:tcPr>
          <w:p w14:paraId="199C0F10">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ascii="Times New Roman Regular" w:hAnsi="Times New Roman Regular" w:eastAsia="宋体" w:cs="Times New Roman Regular"/>
                <w:color w:val="auto"/>
                <w:szCs w:val="21"/>
                <w:lang w:bidi="ar"/>
              </w:rPr>
            </w:pPr>
            <w:r>
              <w:rPr>
                <w:rFonts w:hint="default" w:ascii="Times New Roman Regular" w:hAnsi="Times New Roman Regular" w:eastAsia="宋体" w:cs="Times New Roman Regular"/>
                <w:color w:val="auto"/>
                <w:szCs w:val="21"/>
                <w:lang w:bidi="ar"/>
              </w:rPr>
              <w:t>低晶化度包覆料及其制备方法、负极材料及锂电池负极</w:t>
            </w:r>
          </w:p>
        </w:tc>
        <w:tc>
          <w:tcPr>
            <w:tcW w:w="1128" w:type="dxa"/>
            <w:noWrap w:val="0"/>
            <w:vAlign w:val="center"/>
          </w:tcPr>
          <w:p w14:paraId="007AA0BE">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ascii="Times New Roman Regular" w:hAnsi="Times New Roman Regular" w:eastAsia="宋体" w:cs="Times New Roman Regular"/>
                <w:color w:val="auto"/>
                <w:szCs w:val="21"/>
                <w:lang w:val="en-US" w:eastAsia="zh-CN"/>
              </w:rPr>
            </w:pPr>
            <w:r>
              <w:rPr>
                <w:rFonts w:hint="eastAsia" w:ascii="Times New Roman Regular" w:hAnsi="Times New Roman Regular" w:cs="Times New Roman Regular"/>
                <w:color w:val="auto"/>
                <w:szCs w:val="21"/>
                <w:lang w:val="en-US" w:eastAsia="zh-CN"/>
              </w:rPr>
              <w:t>发明专利证书</w:t>
            </w:r>
          </w:p>
        </w:tc>
        <w:tc>
          <w:tcPr>
            <w:tcW w:w="1197" w:type="dxa"/>
            <w:noWrap w:val="0"/>
            <w:vAlign w:val="center"/>
          </w:tcPr>
          <w:p w14:paraId="6F484DA5">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rFonts w:hint="default" w:ascii="Times New Roman Regular" w:hAnsi="Times New Roman Regular" w:eastAsia="宋体" w:cs="Times New Roman Regular"/>
                <w:color w:val="auto"/>
                <w:szCs w:val="21"/>
              </w:rPr>
            </w:pPr>
            <w:r>
              <w:rPr>
                <w:rFonts w:hint="default" w:ascii="Times New Roman Regular" w:hAnsi="Times New Roman Regular" w:eastAsia="宋体" w:cs="Times New Roman Regular"/>
                <w:color w:val="auto"/>
                <w:szCs w:val="21"/>
              </w:rPr>
              <w:t>湖南中科星城石墨有限公司</w:t>
            </w:r>
          </w:p>
        </w:tc>
      </w:tr>
      <w:tr w14:paraId="6CE14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4" w:hRule="atLeast"/>
          <w:jc w:val="center"/>
        </w:trPr>
        <w:tc>
          <w:tcPr>
            <w:tcW w:w="819" w:type="dxa"/>
            <w:noWrap w:val="0"/>
            <w:vAlign w:val="center"/>
          </w:tcPr>
          <w:p w14:paraId="2D8ACFB0">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5</w:t>
            </w:r>
          </w:p>
        </w:tc>
        <w:tc>
          <w:tcPr>
            <w:tcW w:w="1278" w:type="dxa"/>
            <w:noWrap w:val="0"/>
            <w:vAlign w:val="center"/>
          </w:tcPr>
          <w:p w14:paraId="0301A3B9">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共同参与制订标准规范</w:t>
            </w:r>
          </w:p>
        </w:tc>
        <w:tc>
          <w:tcPr>
            <w:tcW w:w="1384" w:type="dxa"/>
            <w:noWrap w:val="0"/>
            <w:vAlign w:val="center"/>
          </w:tcPr>
          <w:p w14:paraId="3223B121">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王志勇（1）；胡孔明（2）；罗旭彪（6）；杨利明（7）；李荐（10）；王利华（11）</w:t>
            </w:r>
          </w:p>
        </w:tc>
        <w:tc>
          <w:tcPr>
            <w:tcW w:w="1191" w:type="dxa"/>
            <w:noWrap w:val="0"/>
            <w:vAlign w:val="center"/>
          </w:tcPr>
          <w:p w14:paraId="4514E52E">
            <w:pPr>
              <w:keepNext w:val="0"/>
              <w:keepLines w:val="0"/>
              <w:pageBreakBefore w:val="0"/>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2022年08月</w:t>
            </w:r>
          </w:p>
        </w:tc>
        <w:tc>
          <w:tcPr>
            <w:tcW w:w="1703" w:type="dxa"/>
            <w:noWrap w:val="0"/>
            <w:vAlign w:val="center"/>
          </w:tcPr>
          <w:p w14:paraId="6BDB8CDB">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锂离子电池回收利用回收及修复石墨负极</w:t>
            </w:r>
          </w:p>
        </w:tc>
        <w:tc>
          <w:tcPr>
            <w:tcW w:w="1128" w:type="dxa"/>
            <w:noWrap w:val="0"/>
            <w:vAlign w:val="center"/>
          </w:tcPr>
          <w:p w14:paraId="0CFC5C2D">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rPr>
              <w:t>团体标准发布稿</w:t>
            </w:r>
          </w:p>
        </w:tc>
        <w:tc>
          <w:tcPr>
            <w:tcW w:w="1197" w:type="dxa"/>
            <w:noWrap w:val="0"/>
            <w:vAlign w:val="center"/>
          </w:tcPr>
          <w:p w14:paraId="4FAB8669">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rPr>
              <w:t>湖南中科星城石墨有限公司、南昌航空大学、中南大学</w:t>
            </w:r>
          </w:p>
        </w:tc>
      </w:tr>
      <w:tr w14:paraId="0B18C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4" w:hRule="atLeast"/>
          <w:jc w:val="center"/>
        </w:trPr>
        <w:tc>
          <w:tcPr>
            <w:tcW w:w="819" w:type="dxa"/>
            <w:noWrap w:val="0"/>
            <w:vAlign w:val="center"/>
          </w:tcPr>
          <w:p w14:paraId="4FB243C2">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6</w:t>
            </w:r>
          </w:p>
        </w:tc>
        <w:tc>
          <w:tcPr>
            <w:tcW w:w="1278" w:type="dxa"/>
            <w:noWrap w:val="0"/>
            <w:vAlign w:val="center"/>
          </w:tcPr>
          <w:p w14:paraId="04BF927B">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共同参与制订标准规范</w:t>
            </w:r>
          </w:p>
        </w:tc>
        <w:tc>
          <w:tcPr>
            <w:tcW w:w="1384" w:type="dxa"/>
            <w:noWrap w:val="0"/>
            <w:vAlign w:val="center"/>
          </w:tcPr>
          <w:p w14:paraId="245B9593">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杨利明（4）；罗旭彪（5）；李荐（14）；王利华（15）；王志勇（18）</w:t>
            </w:r>
          </w:p>
        </w:tc>
        <w:tc>
          <w:tcPr>
            <w:tcW w:w="1191" w:type="dxa"/>
            <w:noWrap w:val="0"/>
            <w:vAlign w:val="center"/>
          </w:tcPr>
          <w:p w14:paraId="76AC12AB">
            <w:pPr>
              <w:keepNext w:val="0"/>
              <w:keepLines w:val="0"/>
              <w:pageBreakBefore w:val="0"/>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2022年08月</w:t>
            </w:r>
          </w:p>
        </w:tc>
        <w:tc>
          <w:tcPr>
            <w:tcW w:w="1703" w:type="dxa"/>
            <w:noWrap w:val="0"/>
            <w:vAlign w:val="center"/>
          </w:tcPr>
          <w:p w14:paraId="2F1E6B09">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lang w:bidi="ar"/>
              </w:rPr>
              <w:t>锂离子电池回收利用回收及修复磷酸铁锂</w:t>
            </w:r>
          </w:p>
        </w:tc>
        <w:tc>
          <w:tcPr>
            <w:tcW w:w="1128" w:type="dxa"/>
            <w:noWrap w:val="0"/>
            <w:vAlign w:val="center"/>
          </w:tcPr>
          <w:p w14:paraId="17166571">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rPr>
              <w:t>团体标准发布稿</w:t>
            </w:r>
          </w:p>
        </w:tc>
        <w:tc>
          <w:tcPr>
            <w:tcW w:w="1197" w:type="dxa"/>
            <w:noWrap w:val="0"/>
            <w:vAlign w:val="center"/>
          </w:tcPr>
          <w:p w14:paraId="43BA1EBA">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rPr>
              <w:t>南昌航空大学、中南大学、湖南中科星城石墨有限公司</w:t>
            </w:r>
          </w:p>
        </w:tc>
      </w:tr>
      <w:tr w14:paraId="04FB30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4" w:hRule="atLeast"/>
          <w:jc w:val="center"/>
        </w:trPr>
        <w:tc>
          <w:tcPr>
            <w:tcW w:w="819" w:type="dxa"/>
            <w:noWrap w:val="0"/>
            <w:vAlign w:val="center"/>
          </w:tcPr>
          <w:p w14:paraId="083D97C0">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 w:val="24"/>
                <w:szCs w:val="24"/>
                <w:lang w:val="en-US" w:eastAsia="zh-CN"/>
              </w:rPr>
              <w:t>7</w:t>
            </w:r>
          </w:p>
        </w:tc>
        <w:tc>
          <w:tcPr>
            <w:tcW w:w="1278" w:type="dxa"/>
            <w:noWrap w:val="0"/>
            <w:vAlign w:val="center"/>
          </w:tcPr>
          <w:p w14:paraId="23D23FE0">
            <w:pPr>
              <w:keepNext w:val="0"/>
              <w:keepLines w:val="0"/>
              <w:pageBreakBefore w:val="0"/>
              <w:widowControl/>
              <w:kinsoku/>
              <w:wordWrap/>
              <w:overflowPunct/>
              <w:topLinePunct w:val="0"/>
              <w:autoSpaceDE/>
              <w:autoSpaceDN/>
              <w:bidi w:val="0"/>
              <w:adjustRightInd/>
              <w:snapToGrid/>
              <w:spacing w:before="100" w:beforeAutospacing="0" w:after="10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rPr>
              <w:t>专著合著</w:t>
            </w:r>
          </w:p>
        </w:tc>
        <w:tc>
          <w:tcPr>
            <w:tcW w:w="1384" w:type="dxa"/>
            <w:noWrap w:val="0"/>
            <w:vAlign w:val="center"/>
          </w:tcPr>
          <w:p w14:paraId="27B491E7">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李荐（1）；王利华（2）</w:t>
            </w:r>
          </w:p>
        </w:tc>
        <w:tc>
          <w:tcPr>
            <w:tcW w:w="1191" w:type="dxa"/>
            <w:noWrap w:val="0"/>
            <w:vAlign w:val="center"/>
          </w:tcPr>
          <w:p w14:paraId="18D1C7C4">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2022年12月</w:t>
            </w:r>
          </w:p>
        </w:tc>
        <w:tc>
          <w:tcPr>
            <w:tcW w:w="1703" w:type="dxa"/>
            <w:noWrap w:val="0"/>
            <w:vAlign w:val="center"/>
          </w:tcPr>
          <w:p w14:paraId="69FDF51F">
            <w:pPr>
              <w:keepNext w:val="0"/>
              <w:keepLines w:val="0"/>
              <w:pageBreakBefore w:val="0"/>
              <w:widowControl/>
              <w:kinsoku/>
              <w:wordWrap/>
              <w:overflowPunct/>
              <w:topLinePunct w:val="0"/>
              <w:autoSpaceDE/>
              <w:autoSpaceDN/>
              <w:bidi w:val="0"/>
              <w:adjustRightInd/>
              <w:snapToGrid/>
              <w:spacing w:before="100" w:beforeAutospacing="0" w:after="10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rPr>
              <w:t>锂离子动力电池回收技术与实践</w:t>
            </w:r>
          </w:p>
        </w:tc>
        <w:tc>
          <w:tcPr>
            <w:tcW w:w="1128" w:type="dxa"/>
            <w:noWrap w:val="0"/>
            <w:vAlign w:val="center"/>
          </w:tcPr>
          <w:p w14:paraId="3EDCF86D">
            <w:pPr>
              <w:keepNext w:val="0"/>
              <w:keepLines w:val="0"/>
              <w:pageBreakBefore w:val="0"/>
              <w:widowControl/>
              <w:kinsoku/>
              <w:wordWrap/>
              <w:overflowPunct/>
              <w:topLinePunct w:val="0"/>
              <w:autoSpaceDE/>
              <w:autoSpaceDN/>
              <w:bidi w:val="0"/>
              <w:adjustRightInd/>
              <w:snapToGrid/>
              <w:spacing w:before="100" w:beforeAutospacing="0" w:after="10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rPr>
              <w:t>专著首页、版权页、核心内容页和文献页</w:t>
            </w:r>
          </w:p>
        </w:tc>
        <w:tc>
          <w:tcPr>
            <w:tcW w:w="1197" w:type="dxa"/>
            <w:noWrap w:val="0"/>
            <w:vAlign w:val="center"/>
          </w:tcPr>
          <w:p w14:paraId="0A88B2FD">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rPr>
              <w:t>中南大学、湖南理工大学</w:t>
            </w:r>
          </w:p>
        </w:tc>
      </w:tr>
      <w:tr w14:paraId="589201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44" w:hRule="atLeast"/>
          <w:jc w:val="center"/>
        </w:trPr>
        <w:tc>
          <w:tcPr>
            <w:tcW w:w="819" w:type="dxa"/>
            <w:noWrap w:val="0"/>
            <w:vAlign w:val="center"/>
          </w:tcPr>
          <w:p w14:paraId="7B5E282B">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 w:val="24"/>
                <w:szCs w:val="24"/>
                <w:lang w:val="en-US" w:eastAsia="zh-CN"/>
              </w:rPr>
              <w:t>8</w:t>
            </w:r>
          </w:p>
        </w:tc>
        <w:tc>
          <w:tcPr>
            <w:tcW w:w="1278" w:type="dxa"/>
            <w:noWrap w:val="0"/>
            <w:vAlign w:val="center"/>
          </w:tcPr>
          <w:p w14:paraId="37804566">
            <w:pPr>
              <w:keepNext w:val="0"/>
              <w:keepLines w:val="0"/>
              <w:pageBreakBefore w:val="0"/>
              <w:widowControl/>
              <w:kinsoku/>
              <w:wordWrap/>
              <w:overflowPunct/>
              <w:topLinePunct w:val="0"/>
              <w:autoSpaceDE/>
              <w:autoSpaceDN/>
              <w:bidi w:val="0"/>
              <w:adjustRightInd/>
              <w:snapToGrid/>
              <w:spacing w:before="100" w:beforeAutospacing="0" w:after="10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rPr>
              <w:t>论文合著</w:t>
            </w:r>
          </w:p>
        </w:tc>
        <w:tc>
          <w:tcPr>
            <w:tcW w:w="1384" w:type="dxa"/>
            <w:noWrap w:val="0"/>
            <w:vAlign w:val="center"/>
          </w:tcPr>
          <w:p w14:paraId="30D2D2F3">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杨利明（1）；王利华（10）；罗旭彪（12）</w:t>
            </w:r>
          </w:p>
        </w:tc>
        <w:tc>
          <w:tcPr>
            <w:tcW w:w="1191" w:type="dxa"/>
            <w:noWrap w:val="0"/>
            <w:vAlign w:val="center"/>
          </w:tcPr>
          <w:p w14:paraId="3C30DEFE">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bidi="ar"/>
              </w:rPr>
              <w:t>2024年04月</w:t>
            </w:r>
          </w:p>
        </w:tc>
        <w:tc>
          <w:tcPr>
            <w:tcW w:w="1703" w:type="dxa"/>
            <w:noWrap w:val="0"/>
            <w:vAlign w:val="center"/>
          </w:tcPr>
          <w:p w14:paraId="19B5A7AD">
            <w:pPr>
              <w:keepNext w:val="0"/>
              <w:keepLines w:val="0"/>
              <w:pageBreakBefore w:val="0"/>
              <w:widowControl/>
              <w:kinsoku/>
              <w:wordWrap/>
              <w:overflowPunct/>
              <w:topLinePunct w:val="0"/>
              <w:autoSpaceDE/>
              <w:autoSpaceDN/>
              <w:bidi w:val="0"/>
              <w:adjustRightInd/>
              <w:snapToGrid/>
              <w:spacing w:before="100" w:beforeAutospacing="0" w:after="100" w:afterAutospacing="0" w:line="280" w:lineRule="exact"/>
              <w:jc w:val="center"/>
              <w:textAlignment w:val="auto"/>
              <w:rPr>
                <w:color w:val="auto"/>
                <w:sz w:val="24"/>
                <w:szCs w:val="24"/>
                <w:highlight w:val="none"/>
              </w:rPr>
            </w:pPr>
            <w:r>
              <w:rPr>
                <w:rFonts w:hint="default" w:ascii="Times New Roman Regular" w:hAnsi="Times New Roman Regular" w:eastAsia="宋体" w:cs="Times New Roman Regular"/>
                <w:color w:val="auto"/>
                <w:szCs w:val="21"/>
              </w:rPr>
              <w:t>Direct Regeneration of Spent Lithium‑Ion Battery</w:t>
            </w:r>
            <w:r>
              <w:rPr>
                <w:rFonts w:hint="eastAsia" w:ascii="Times New Roman Regular" w:hAnsi="Times New Roman Regular" w:cs="Times New Roman Regular"/>
                <w:color w:val="auto"/>
                <w:szCs w:val="21"/>
                <w:lang w:val="en-US" w:eastAsia="zh-CN"/>
              </w:rPr>
              <w:t xml:space="preserve"> </w:t>
            </w:r>
            <w:r>
              <w:rPr>
                <w:rFonts w:hint="default" w:ascii="Times New Roman Regular" w:hAnsi="Times New Roman Regular" w:eastAsia="宋体" w:cs="Times New Roman Regular"/>
                <w:color w:val="auto"/>
                <w:szCs w:val="21"/>
              </w:rPr>
              <w:t>Cathodes: From Theoretical Study to Production</w:t>
            </w:r>
            <w:r>
              <w:rPr>
                <w:rFonts w:hint="eastAsia" w:ascii="Times New Roman Regular" w:hAnsi="Times New Roman Regular" w:cs="Times New Roman Regular"/>
                <w:color w:val="auto"/>
                <w:szCs w:val="21"/>
                <w:lang w:val="en-US" w:eastAsia="zh-CN"/>
              </w:rPr>
              <w:t xml:space="preserve"> </w:t>
            </w:r>
            <w:r>
              <w:rPr>
                <w:rFonts w:hint="default" w:ascii="Times New Roman Regular" w:hAnsi="Times New Roman Regular" w:eastAsia="宋体" w:cs="Times New Roman Regular"/>
                <w:color w:val="auto"/>
                <w:szCs w:val="21"/>
              </w:rPr>
              <w:t>Practice</w:t>
            </w:r>
          </w:p>
        </w:tc>
        <w:tc>
          <w:tcPr>
            <w:tcW w:w="1128" w:type="dxa"/>
            <w:noWrap w:val="0"/>
            <w:vAlign w:val="center"/>
          </w:tcPr>
          <w:p w14:paraId="1CD31182">
            <w:pPr>
              <w:keepNext w:val="0"/>
              <w:keepLines w:val="0"/>
              <w:pageBreakBefore w:val="0"/>
              <w:widowControl/>
              <w:kinsoku/>
              <w:wordWrap/>
              <w:overflowPunct/>
              <w:topLinePunct w:val="0"/>
              <w:autoSpaceDE/>
              <w:autoSpaceDN/>
              <w:bidi w:val="0"/>
              <w:adjustRightInd/>
              <w:snapToGrid/>
              <w:spacing w:before="100" w:beforeAutospacing="0" w:after="10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rPr>
              <w:t>论文全文</w:t>
            </w:r>
          </w:p>
        </w:tc>
        <w:tc>
          <w:tcPr>
            <w:tcW w:w="1197" w:type="dxa"/>
            <w:noWrap w:val="0"/>
            <w:vAlign w:val="center"/>
          </w:tcPr>
          <w:p w14:paraId="498CF131">
            <w:pPr>
              <w:keepNext w:val="0"/>
              <w:keepLines w:val="0"/>
              <w:pageBreakBefore w:val="0"/>
              <w:widowControl/>
              <w:kinsoku/>
              <w:wordWrap/>
              <w:overflowPunct/>
              <w:topLinePunct w:val="0"/>
              <w:autoSpaceDE/>
              <w:autoSpaceDN/>
              <w:bidi w:val="0"/>
              <w:adjustRightInd/>
              <w:snapToGrid/>
              <w:spacing w:beforeAutospacing="0" w:afterAutospacing="0" w:line="280" w:lineRule="exact"/>
              <w:jc w:val="center"/>
              <w:textAlignment w:val="auto"/>
              <w:rPr>
                <w:color w:val="auto"/>
                <w:sz w:val="24"/>
                <w:szCs w:val="24"/>
                <w:highlight w:val="none"/>
              </w:rPr>
            </w:pPr>
            <w:r>
              <w:rPr>
                <w:rFonts w:hint="eastAsia" w:ascii="Times New Roman Regular" w:hAnsi="Times New Roman Regular" w:cs="Times New Roman Regular"/>
                <w:color w:val="auto"/>
                <w:szCs w:val="21"/>
                <w:lang w:val="en-US" w:eastAsia="zh-CN"/>
              </w:rPr>
              <w:t>南昌航空大学、湖南理工大学、井冈山大学</w:t>
            </w:r>
          </w:p>
        </w:tc>
      </w:tr>
    </w:tbl>
    <w:p w14:paraId="6ECFBC7C">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imes New Roman Regular">
    <w:panose1 w:val="02020603050405020304"/>
    <w:charset w:val="00"/>
    <w:family w:val="auto"/>
    <w:pitch w:val="default"/>
    <w:sig w:usb0="E0002AEF" w:usb1="C0007841" w:usb2="00000009" w:usb3="00000000" w:csb0="400001FF" w:csb1="FFFF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6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3E7B88"/>
    <w:rsid w:val="1F2BAA1C"/>
    <w:rsid w:val="220C8DA8"/>
    <w:rsid w:val="56C913E4"/>
    <w:rsid w:val="5F5E41B9"/>
    <w:rsid w:val="7D3E7B88"/>
    <w:rsid w:val="F0CB0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pPr>
      <w:spacing w:after="120"/>
    </w:pPr>
  </w:style>
  <w:style w:type="paragraph" w:styleId="3">
    <w:name w:val="Plain Text"/>
    <w:basedOn w:val="1"/>
    <w:semiHidden/>
    <w:qFormat/>
    <w:uiPriority w:val="0"/>
    <w:pPr>
      <w:spacing w:line="360" w:lineRule="auto"/>
      <w:ind w:firstLine="480" w:firstLineChars="200"/>
    </w:pPr>
    <w:rPr>
      <w:rFonts w:ascii="仿宋_GB2312"/>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42</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2026-10-16T02:39:00Z</dcterms:created>
  <dc:creator>熊 赞</dc:creator>
  <cp:lastModifiedBy>熊 赞</cp:lastModifiedBy>
  <dcterms:modified xsi:type="dcterms:W3CDTF">2026-10-20T11:47:41Z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7D8753F0CA956DDA6EEBCE6AF0858EF7_41</vt:lpwstr>
  </property>
</Properties>
</file>