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717DC">
      <w:pPr>
        <w:jc w:val="center"/>
        <w:rPr>
          <w:rFonts w:hint="eastAsia" w:ascii="宋体" w:hAnsi="宋体" w:eastAsia="宋体" w:cs="宋体"/>
          <w:b/>
          <w:bCs/>
          <w:color w:val="333333"/>
          <w:sz w:val="32"/>
          <w:szCs w:val="32"/>
          <w:shd w:val="clear" w:color="auto" w:fill="FFFFFF"/>
        </w:rPr>
      </w:pPr>
      <w:r>
        <w:rPr>
          <w:rFonts w:hint="eastAsia" w:ascii="宋体" w:hAnsi="宋体" w:eastAsia="宋体" w:cs="宋体"/>
          <w:b/>
          <w:bCs/>
          <w:color w:val="333333"/>
          <w:sz w:val="32"/>
          <w:szCs w:val="32"/>
          <w:shd w:val="clear" w:color="auto" w:fill="FFFFFF"/>
        </w:rPr>
        <w:t>关于参与申报2026年度湖南省科学技术奖项目的公示</w:t>
      </w:r>
    </w:p>
    <w:p w14:paraId="13444204">
      <w:pPr>
        <w:ind w:firstLine="480" w:firstLineChars="200"/>
        <w:rPr>
          <w:sz w:val="24"/>
        </w:rPr>
      </w:pPr>
    </w:p>
    <w:p w14:paraId="3B16A75B">
      <w:pPr>
        <w:rPr>
          <w:sz w:val="24"/>
        </w:rPr>
      </w:pPr>
      <w:r>
        <w:rPr>
          <w:rFonts w:hint="eastAsia"/>
          <w:b/>
          <w:bCs/>
          <w:sz w:val="24"/>
          <w:lang w:val="en-US" w:eastAsia="zh-CN"/>
        </w:rPr>
        <w:t>一、</w:t>
      </w:r>
      <w:r>
        <w:rPr>
          <w:b/>
          <w:bCs/>
          <w:sz w:val="24"/>
        </w:rPr>
        <w:t>项目名称</w:t>
      </w:r>
      <w:r>
        <w:rPr>
          <w:rFonts w:hint="eastAsia"/>
          <w:b/>
          <w:bCs/>
          <w:sz w:val="24"/>
        </w:rPr>
        <w:t>：</w:t>
      </w:r>
      <w:r>
        <w:rPr>
          <w:rFonts w:hint="eastAsia"/>
          <w:sz w:val="24"/>
        </w:rPr>
        <w:t>饮用水处理中藻细胞亚致死损伤的超声调控理论与方法</w:t>
      </w:r>
    </w:p>
    <w:p w14:paraId="23599518">
      <w:pPr>
        <w:rPr>
          <w:sz w:val="24"/>
        </w:rPr>
      </w:pPr>
      <w:r>
        <w:rPr>
          <w:rFonts w:hint="eastAsia"/>
          <w:b/>
          <w:bCs/>
          <w:sz w:val="24"/>
          <w:lang w:val="en-US" w:eastAsia="zh-CN"/>
        </w:rPr>
        <w:t>二、</w:t>
      </w:r>
      <w:r>
        <w:rPr>
          <w:rFonts w:hint="eastAsia"/>
          <w:b/>
          <w:bCs/>
          <w:sz w:val="24"/>
        </w:rPr>
        <w:t>提名单位（专家）：</w:t>
      </w:r>
      <w:r>
        <w:rPr>
          <w:rFonts w:hint="eastAsia"/>
          <w:sz w:val="24"/>
        </w:rPr>
        <w:t>湖南科技大学</w:t>
      </w:r>
    </w:p>
    <w:p w14:paraId="38F24947">
      <w:pPr>
        <w:rPr>
          <w:sz w:val="24"/>
        </w:rPr>
      </w:pPr>
      <w:r>
        <w:rPr>
          <w:rFonts w:hint="eastAsia"/>
          <w:b/>
          <w:bCs/>
          <w:sz w:val="24"/>
          <w:lang w:val="en-US" w:eastAsia="zh-CN"/>
        </w:rPr>
        <w:t>三、</w:t>
      </w:r>
      <w:r>
        <w:rPr>
          <w:rFonts w:hint="eastAsia"/>
          <w:b/>
          <w:bCs/>
          <w:sz w:val="24"/>
        </w:rPr>
        <w:t>提名等级：</w:t>
      </w:r>
      <w:r>
        <w:rPr>
          <w:rFonts w:hint="eastAsia" w:ascii="宋体" w:hAnsi="宋体" w:eastAsia="宋体" w:cs="宋体"/>
          <w:color w:val="333333"/>
          <w:sz w:val="24"/>
          <w:shd w:val="clear" w:color="auto" w:fill="FFFFFF"/>
        </w:rPr>
        <w:t>湖南省自然科学奖</w:t>
      </w:r>
      <w:r>
        <w:rPr>
          <w:rFonts w:hint="eastAsia"/>
          <w:sz w:val="24"/>
        </w:rPr>
        <w:t>二等奖或三等奖</w:t>
      </w:r>
    </w:p>
    <w:p w14:paraId="0D6F1A68">
      <w:pPr>
        <w:rPr>
          <w:b/>
          <w:bCs/>
          <w:sz w:val="24"/>
        </w:rPr>
      </w:pPr>
      <w:r>
        <w:rPr>
          <w:rFonts w:hint="eastAsia"/>
          <w:b/>
          <w:bCs/>
          <w:sz w:val="24"/>
          <w:lang w:val="en-US" w:eastAsia="zh-CN"/>
        </w:rPr>
        <w:t>四、</w:t>
      </w:r>
      <w:r>
        <w:rPr>
          <w:rFonts w:hint="eastAsia"/>
          <w:b/>
          <w:bCs/>
          <w:sz w:val="24"/>
        </w:rPr>
        <w:t>代表作（含论文、专著）</w:t>
      </w:r>
      <w:r>
        <w:rPr>
          <w:b/>
          <w:bCs/>
          <w:sz w:val="24"/>
        </w:rPr>
        <w:t>目录</w:t>
      </w:r>
      <w:r>
        <w:rPr>
          <w:rFonts w:hint="eastAsia"/>
          <w:b/>
          <w:bCs/>
          <w:sz w:val="24"/>
        </w:rPr>
        <w:t>：</w:t>
      </w:r>
    </w:p>
    <w:tbl>
      <w:tblPr>
        <w:tblStyle w:val="9"/>
        <w:tblW w:w="987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61"/>
        <w:gridCol w:w="2481"/>
        <w:gridCol w:w="779"/>
        <w:gridCol w:w="709"/>
        <w:gridCol w:w="709"/>
        <w:gridCol w:w="708"/>
        <w:gridCol w:w="993"/>
        <w:gridCol w:w="993"/>
        <w:gridCol w:w="567"/>
        <w:gridCol w:w="664"/>
        <w:gridCol w:w="913"/>
      </w:tblGrid>
      <w:tr w14:paraId="52A463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361" w:type="dxa"/>
            <w:noWrap w:val="0"/>
            <w:vAlign w:val="center"/>
          </w:tcPr>
          <w:p w14:paraId="546015F9">
            <w:pPr>
              <w:pStyle w:val="5"/>
              <w:spacing w:line="240" w:lineRule="auto"/>
              <w:ind w:firstLine="0" w:firstLineChars="0"/>
              <w:jc w:val="center"/>
              <w:outlineLvl w:val="1"/>
              <w:rPr>
                <w:rFonts w:ascii="Times New Roman"/>
                <w:sz w:val="21"/>
                <w:szCs w:val="28"/>
              </w:rPr>
            </w:pPr>
            <w:r>
              <w:rPr>
                <w:rFonts w:ascii="Times New Roman"/>
                <w:sz w:val="21"/>
                <w:szCs w:val="28"/>
              </w:rPr>
              <w:t>序号</w:t>
            </w:r>
          </w:p>
        </w:tc>
        <w:tc>
          <w:tcPr>
            <w:tcW w:w="2481" w:type="dxa"/>
            <w:noWrap w:val="0"/>
            <w:vAlign w:val="center"/>
          </w:tcPr>
          <w:p w14:paraId="264DDF1D">
            <w:pPr>
              <w:pStyle w:val="5"/>
              <w:spacing w:line="240" w:lineRule="auto"/>
              <w:ind w:firstLine="0" w:firstLineChars="0"/>
              <w:jc w:val="center"/>
              <w:outlineLvl w:val="1"/>
              <w:rPr>
                <w:rFonts w:ascii="Times New Roman"/>
                <w:sz w:val="21"/>
                <w:szCs w:val="28"/>
              </w:rPr>
            </w:pPr>
            <w:r>
              <w:rPr>
                <w:rFonts w:ascii="Times New Roman"/>
                <w:sz w:val="21"/>
                <w:szCs w:val="28"/>
              </w:rPr>
              <w:t>代表作名称/刊名/作者</w:t>
            </w:r>
          </w:p>
        </w:tc>
        <w:tc>
          <w:tcPr>
            <w:tcW w:w="779" w:type="dxa"/>
            <w:noWrap w:val="0"/>
            <w:vAlign w:val="center"/>
          </w:tcPr>
          <w:p w14:paraId="79321082">
            <w:pPr>
              <w:pStyle w:val="5"/>
              <w:spacing w:line="240" w:lineRule="auto"/>
              <w:ind w:firstLine="0" w:firstLineChars="0"/>
              <w:jc w:val="center"/>
              <w:outlineLvl w:val="1"/>
              <w:rPr>
                <w:rFonts w:ascii="Times New Roman"/>
                <w:sz w:val="21"/>
                <w:szCs w:val="28"/>
              </w:rPr>
            </w:pPr>
            <w:r>
              <w:rPr>
                <w:rFonts w:ascii="Times New Roman"/>
                <w:sz w:val="21"/>
                <w:szCs w:val="28"/>
              </w:rPr>
              <w:t>年卷页码</w:t>
            </w:r>
          </w:p>
          <w:p w14:paraId="17DA85D1">
            <w:pPr>
              <w:pStyle w:val="5"/>
              <w:spacing w:line="240" w:lineRule="auto"/>
              <w:ind w:firstLine="0" w:firstLineChars="0"/>
              <w:jc w:val="center"/>
              <w:outlineLvl w:val="1"/>
              <w:rPr>
                <w:rFonts w:ascii="Times New Roman"/>
                <w:sz w:val="21"/>
                <w:szCs w:val="28"/>
              </w:rPr>
            </w:pPr>
            <w:r>
              <w:rPr>
                <w:rFonts w:ascii="Times New Roman"/>
                <w:sz w:val="21"/>
                <w:szCs w:val="28"/>
              </w:rPr>
              <w:t>（xx年xx卷</w:t>
            </w:r>
          </w:p>
          <w:p w14:paraId="0C7CC8C3">
            <w:pPr>
              <w:pStyle w:val="5"/>
              <w:spacing w:line="240" w:lineRule="auto"/>
              <w:ind w:firstLine="0" w:firstLineChars="0"/>
              <w:jc w:val="center"/>
              <w:outlineLvl w:val="1"/>
              <w:rPr>
                <w:rFonts w:ascii="Times New Roman"/>
                <w:sz w:val="21"/>
                <w:szCs w:val="28"/>
              </w:rPr>
            </w:pPr>
            <w:r>
              <w:rPr>
                <w:rFonts w:ascii="Times New Roman"/>
                <w:sz w:val="21"/>
                <w:szCs w:val="28"/>
              </w:rPr>
              <w:t>xx页）</w:t>
            </w:r>
          </w:p>
        </w:tc>
        <w:tc>
          <w:tcPr>
            <w:tcW w:w="709" w:type="dxa"/>
            <w:noWrap w:val="0"/>
            <w:vAlign w:val="center"/>
          </w:tcPr>
          <w:p w14:paraId="68961A3A">
            <w:pPr>
              <w:pStyle w:val="5"/>
              <w:spacing w:line="240" w:lineRule="auto"/>
              <w:ind w:firstLine="0" w:firstLineChars="0"/>
              <w:jc w:val="center"/>
              <w:outlineLvl w:val="1"/>
              <w:rPr>
                <w:rFonts w:ascii="Times New Roman"/>
                <w:sz w:val="21"/>
                <w:szCs w:val="28"/>
              </w:rPr>
            </w:pPr>
            <w:r>
              <w:rPr>
                <w:rFonts w:ascii="Times New Roman"/>
                <w:sz w:val="21"/>
                <w:szCs w:val="28"/>
              </w:rPr>
              <w:t>发表时间</w:t>
            </w:r>
            <w:r>
              <w:rPr>
                <w:rFonts w:ascii="Times New Roman" w:eastAsia="黑体"/>
                <w:sz w:val="21"/>
                <w:szCs w:val="28"/>
              </w:rPr>
              <w:t>（</w:t>
            </w:r>
            <w:r>
              <w:rPr>
                <w:rFonts w:ascii="Times New Roman"/>
                <w:sz w:val="21"/>
                <w:szCs w:val="28"/>
              </w:rPr>
              <w:t>年月 日）</w:t>
            </w:r>
          </w:p>
        </w:tc>
        <w:tc>
          <w:tcPr>
            <w:tcW w:w="709" w:type="dxa"/>
            <w:noWrap w:val="0"/>
            <w:vAlign w:val="center"/>
          </w:tcPr>
          <w:p w14:paraId="7694E6E2">
            <w:pPr>
              <w:pStyle w:val="5"/>
              <w:spacing w:line="240" w:lineRule="auto"/>
              <w:ind w:firstLine="0" w:firstLineChars="0"/>
              <w:jc w:val="center"/>
              <w:outlineLvl w:val="1"/>
              <w:rPr>
                <w:rFonts w:ascii="Times New Roman"/>
                <w:sz w:val="21"/>
                <w:szCs w:val="28"/>
              </w:rPr>
            </w:pPr>
            <w:r>
              <w:rPr>
                <w:rFonts w:ascii="Times New Roman"/>
                <w:sz w:val="21"/>
                <w:szCs w:val="28"/>
              </w:rPr>
              <w:t>通讯作者（含共同）</w:t>
            </w:r>
          </w:p>
        </w:tc>
        <w:tc>
          <w:tcPr>
            <w:tcW w:w="708" w:type="dxa"/>
            <w:noWrap w:val="0"/>
            <w:vAlign w:val="center"/>
          </w:tcPr>
          <w:p w14:paraId="18DDB801">
            <w:pPr>
              <w:pStyle w:val="5"/>
              <w:spacing w:line="240" w:lineRule="auto"/>
              <w:ind w:firstLine="0" w:firstLineChars="0"/>
              <w:jc w:val="center"/>
              <w:outlineLvl w:val="1"/>
              <w:rPr>
                <w:rFonts w:ascii="Times New Roman"/>
                <w:sz w:val="21"/>
                <w:szCs w:val="28"/>
              </w:rPr>
            </w:pPr>
            <w:r>
              <w:rPr>
                <w:rFonts w:ascii="Times New Roman"/>
                <w:sz w:val="21"/>
                <w:szCs w:val="28"/>
              </w:rPr>
              <w:t>第一作者（含共同）</w:t>
            </w:r>
          </w:p>
        </w:tc>
        <w:tc>
          <w:tcPr>
            <w:tcW w:w="993" w:type="dxa"/>
            <w:noWrap w:val="0"/>
            <w:vAlign w:val="top"/>
          </w:tcPr>
          <w:p w14:paraId="1D29B28E">
            <w:pPr>
              <w:pStyle w:val="5"/>
              <w:spacing w:line="240" w:lineRule="auto"/>
              <w:ind w:firstLine="0" w:firstLineChars="0"/>
              <w:jc w:val="center"/>
              <w:outlineLvl w:val="1"/>
              <w:rPr>
                <w:rFonts w:ascii="Times New Roman"/>
                <w:sz w:val="21"/>
                <w:szCs w:val="28"/>
              </w:rPr>
            </w:pPr>
            <w:r>
              <w:rPr>
                <w:rFonts w:ascii="Times New Roman"/>
                <w:sz w:val="21"/>
                <w:szCs w:val="28"/>
              </w:rPr>
              <w:t>论文第一署名单位（或专著第一、第二作者工作单位）</w:t>
            </w:r>
          </w:p>
        </w:tc>
        <w:tc>
          <w:tcPr>
            <w:tcW w:w="993" w:type="dxa"/>
            <w:noWrap w:val="0"/>
            <w:vAlign w:val="center"/>
          </w:tcPr>
          <w:p w14:paraId="6EF2E0E4">
            <w:pPr>
              <w:pStyle w:val="5"/>
              <w:spacing w:line="240" w:lineRule="auto"/>
              <w:ind w:firstLine="0" w:firstLineChars="0"/>
              <w:jc w:val="center"/>
              <w:outlineLvl w:val="1"/>
              <w:rPr>
                <w:rFonts w:ascii="Times New Roman"/>
                <w:sz w:val="21"/>
                <w:szCs w:val="28"/>
              </w:rPr>
            </w:pPr>
            <w:r>
              <w:rPr>
                <w:rFonts w:ascii="Times New Roman"/>
                <w:sz w:val="21"/>
                <w:szCs w:val="28"/>
              </w:rPr>
              <w:t>列入项目主要完成人的作者（排序）</w:t>
            </w:r>
          </w:p>
        </w:tc>
        <w:tc>
          <w:tcPr>
            <w:tcW w:w="567" w:type="dxa"/>
            <w:noWrap w:val="0"/>
            <w:vAlign w:val="center"/>
          </w:tcPr>
          <w:p w14:paraId="1CE98461">
            <w:pPr>
              <w:pStyle w:val="5"/>
              <w:spacing w:line="240" w:lineRule="auto"/>
              <w:ind w:firstLine="0" w:firstLineChars="0"/>
              <w:jc w:val="center"/>
              <w:outlineLvl w:val="1"/>
              <w:rPr>
                <w:rFonts w:ascii="Times New Roman"/>
                <w:sz w:val="21"/>
                <w:szCs w:val="28"/>
              </w:rPr>
            </w:pPr>
            <w:r>
              <w:rPr>
                <w:rFonts w:ascii="Times New Roman"/>
                <w:color w:val="auto"/>
                <w:sz w:val="21"/>
                <w:szCs w:val="28"/>
              </w:rPr>
              <w:t>他引</w:t>
            </w:r>
            <w:r>
              <w:rPr>
                <w:rFonts w:ascii="Times New Roman"/>
                <w:sz w:val="21"/>
                <w:szCs w:val="28"/>
              </w:rPr>
              <w:t>总次数</w:t>
            </w:r>
          </w:p>
        </w:tc>
        <w:tc>
          <w:tcPr>
            <w:tcW w:w="664" w:type="dxa"/>
            <w:noWrap w:val="0"/>
            <w:vAlign w:val="center"/>
          </w:tcPr>
          <w:p w14:paraId="15EEF596">
            <w:pPr>
              <w:pStyle w:val="5"/>
              <w:spacing w:line="240" w:lineRule="auto"/>
              <w:ind w:firstLine="0" w:firstLineChars="0"/>
              <w:jc w:val="center"/>
              <w:outlineLvl w:val="1"/>
              <w:rPr>
                <w:rFonts w:ascii="Times New Roman"/>
                <w:sz w:val="21"/>
                <w:szCs w:val="28"/>
              </w:rPr>
            </w:pPr>
            <w:r>
              <w:rPr>
                <w:rFonts w:ascii="Times New Roman"/>
                <w:sz w:val="21"/>
                <w:szCs w:val="28"/>
              </w:rPr>
              <w:t>检索数据库</w:t>
            </w:r>
          </w:p>
        </w:tc>
        <w:tc>
          <w:tcPr>
            <w:tcW w:w="913" w:type="dxa"/>
            <w:noWrap w:val="0"/>
            <w:vAlign w:val="center"/>
          </w:tcPr>
          <w:p w14:paraId="6D40CE2E">
            <w:pPr>
              <w:pStyle w:val="5"/>
              <w:spacing w:line="240" w:lineRule="auto"/>
              <w:ind w:firstLine="0" w:firstLineChars="0"/>
              <w:jc w:val="center"/>
              <w:outlineLvl w:val="1"/>
              <w:rPr>
                <w:rFonts w:ascii="Times New Roman"/>
                <w:sz w:val="21"/>
                <w:szCs w:val="28"/>
              </w:rPr>
            </w:pPr>
            <w:r>
              <w:rPr>
                <w:rFonts w:ascii="Times New Roman"/>
                <w:sz w:val="21"/>
                <w:szCs w:val="28"/>
              </w:rPr>
              <w:t>是否国内期刊/国内出版专著</w:t>
            </w:r>
          </w:p>
        </w:tc>
      </w:tr>
      <w:tr w14:paraId="2BECD2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361" w:type="dxa"/>
            <w:noWrap w:val="0"/>
            <w:vAlign w:val="center"/>
          </w:tcPr>
          <w:p w14:paraId="75216B06">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1</w:t>
            </w:r>
          </w:p>
        </w:tc>
        <w:tc>
          <w:tcPr>
            <w:tcW w:w="2481" w:type="dxa"/>
            <w:noWrap w:val="0"/>
            <w:vAlign w:val="center"/>
          </w:tcPr>
          <w:p w14:paraId="5BCD5F3B">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Effects of ultrasound on Microcystis aeruginosa cell destruction and release of intracellular organic matter</w:t>
            </w:r>
            <w:r>
              <w:rPr>
                <w:rFonts w:hint="eastAsia" w:ascii="Times New Roman"/>
                <w:sz w:val="21"/>
                <w:szCs w:val="28"/>
              </w:rPr>
              <w:t xml:space="preserve"> </w:t>
            </w:r>
            <w:r>
              <w:rPr>
                <w:rFonts w:ascii="Times New Roman"/>
                <w:sz w:val="21"/>
                <w:szCs w:val="28"/>
              </w:rPr>
              <w:t>/</w:t>
            </w:r>
            <w:r>
              <w:rPr>
                <w:rFonts w:hint="eastAsia" w:ascii="Times New Roman"/>
                <w:sz w:val="21"/>
                <w:szCs w:val="28"/>
              </w:rPr>
              <w:t xml:space="preserve"> </w:t>
            </w:r>
            <w:r>
              <w:rPr>
                <w:rFonts w:ascii="Times New Roman"/>
                <w:sz w:val="21"/>
                <w:szCs w:val="28"/>
              </w:rPr>
              <w:t>Ultrasonics Sonochemistry</w:t>
            </w:r>
            <w:r>
              <w:rPr>
                <w:rFonts w:hint="eastAsia" w:ascii="Times New Roman"/>
                <w:sz w:val="21"/>
                <w:szCs w:val="28"/>
              </w:rPr>
              <w:t xml:space="preserve"> </w:t>
            </w:r>
            <w:r>
              <w:rPr>
                <w:rFonts w:ascii="Times New Roman"/>
                <w:sz w:val="21"/>
                <w:szCs w:val="28"/>
              </w:rPr>
              <w:t>/</w:t>
            </w:r>
            <w:r>
              <w:rPr>
                <w:rFonts w:hint="eastAsia" w:ascii="Times New Roman"/>
                <w:sz w:val="21"/>
                <w:szCs w:val="28"/>
              </w:rPr>
              <w:t xml:space="preserve"> </w:t>
            </w:r>
            <w:r>
              <w:rPr>
                <w:rFonts w:ascii="Times New Roman"/>
                <w:sz w:val="21"/>
                <w:szCs w:val="28"/>
              </w:rPr>
              <w:t>Yazhou Peng, Zhi Zhang⁎, Yuan Kong, Yitao Li, Yingying Zhou, Xingdong Shi, Xueping Shi</w:t>
            </w:r>
          </w:p>
        </w:tc>
        <w:tc>
          <w:tcPr>
            <w:tcW w:w="779" w:type="dxa"/>
            <w:noWrap w:val="0"/>
            <w:vAlign w:val="center"/>
          </w:tcPr>
          <w:p w14:paraId="4CA74CA1">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2020年63卷104909页</w:t>
            </w:r>
          </w:p>
        </w:tc>
        <w:tc>
          <w:tcPr>
            <w:tcW w:w="709" w:type="dxa"/>
            <w:noWrap w:val="0"/>
            <w:vAlign w:val="center"/>
          </w:tcPr>
          <w:p w14:paraId="759AE85E">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2020年05月01日</w:t>
            </w:r>
          </w:p>
        </w:tc>
        <w:tc>
          <w:tcPr>
            <w:tcW w:w="709" w:type="dxa"/>
            <w:noWrap w:val="0"/>
            <w:vAlign w:val="center"/>
          </w:tcPr>
          <w:p w14:paraId="5632E5EE">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张智</w:t>
            </w:r>
          </w:p>
        </w:tc>
        <w:tc>
          <w:tcPr>
            <w:tcW w:w="708" w:type="dxa"/>
            <w:noWrap w:val="0"/>
            <w:vAlign w:val="center"/>
          </w:tcPr>
          <w:p w14:paraId="0185DA61">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彭亚洲</w:t>
            </w:r>
          </w:p>
        </w:tc>
        <w:tc>
          <w:tcPr>
            <w:tcW w:w="993" w:type="dxa"/>
            <w:noWrap w:val="0"/>
            <w:vAlign w:val="center"/>
          </w:tcPr>
          <w:p w14:paraId="0C3005E8">
            <w:pPr>
              <w:pStyle w:val="5"/>
              <w:adjustRightInd w:val="0"/>
              <w:spacing w:after="50" w:line="320" w:lineRule="exact"/>
              <w:ind w:firstLine="0" w:firstLineChars="0"/>
              <w:jc w:val="center"/>
              <w:outlineLvl w:val="1"/>
              <w:rPr>
                <w:rFonts w:hint="eastAsia" w:ascii="Times New Roman"/>
                <w:sz w:val="21"/>
                <w:szCs w:val="28"/>
              </w:rPr>
            </w:pPr>
            <w:r>
              <w:rPr>
                <w:rFonts w:hint="eastAsia" w:ascii="Times New Roman"/>
                <w:sz w:val="21"/>
                <w:szCs w:val="28"/>
              </w:rPr>
              <w:t>重庆大学</w:t>
            </w:r>
          </w:p>
        </w:tc>
        <w:tc>
          <w:tcPr>
            <w:tcW w:w="993" w:type="dxa"/>
            <w:noWrap w:val="0"/>
            <w:vAlign w:val="center"/>
          </w:tcPr>
          <w:p w14:paraId="667D5945">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彭亚洲</w:t>
            </w:r>
            <w:r>
              <w:rPr>
                <w:rFonts w:hint="eastAsia" w:ascii="Times New Roman"/>
                <w:sz w:val="21"/>
                <w:szCs w:val="28"/>
              </w:rPr>
              <w:t>（1）</w:t>
            </w:r>
            <w:r>
              <w:rPr>
                <w:rFonts w:ascii="Times New Roman"/>
                <w:sz w:val="21"/>
                <w:szCs w:val="28"/>
              </w:rPr>
              <w:t>，张智</w:t>
            </w:r>
            <w:bookmarkStart w:id="0" w:name="OLE_LINK62"/>
            <w:r>
              <w:rPr>
                <w:rFonts w:hint="eastAsia" w:ascii="Times New Roman"/>
                <w:sz w:val="21"/>
                <w:szCs w:val="28"/>
              </w:rPr>
              <w:t>（2）</w:t>
            </w:r>
            <w:bookmarkEnd w:id="0"/>
            <w:r>
              <w:rPr>
                <w:rFonts w:ascii="Times New Roman"/>
                <w:sz w:val="21"/>
                <w:szCs w:val="28"/>
              </w:rPr>
              <w:t>，周莹莹</w:t>
            </w:r>
            <w:r>
              <w:rPr>
                <w:rFonts w:hint="eastAsia" w:ascii="Times New Roman"/>
                <w:sz w:val="21"/>
                <w:szCs w:val="28"/>
              </w:rPr>
              <w:t>（5）</w:t>
            </w:r>
          </w:p>
        </w:tc>
        <w:tc>
          <w:tcPr>
            <w:tcW w:w="567" w:type="dxa"/>
            <w:noWrap w:val="0"/>
            <w:vAlign w:val="center"/>
          </w:tcPr>
          <w:p w14:paraId="707EE307">
            <w:pPr>
              <w:pStyle w:val="5"/>
              <w:adjustRightInd w:val="0"/>
              <w:spacing w:after="50" w:line="320" w:lineRule="exact"/>
              <w:ind w:firstLine="0" w:firstLineChars="0"/>
              <w:jc w:val="center"/>
              <w:outlineLvl w:val="1"/>
              <w:rPr>
                <w:rFonts w:hint="eastAsia" w:ascii="Times New Roman"/>
                <w:sz w:val="21"/>
                <w:szCs w:val="28"/>
              </w:rPr>
            </w:pPr>
          </w:p>
        </w:tc>
        <w:tc>
          <w:tcPr>
            <w:tcW w:w="664" w:type="dxa"/>
            <w:noWrap w:val="0"/>
            <w:vAlign w:val="center"/>
          </w:tcPr>
          <w:p w14:paraId="2B8D8EBD">
            <w:pPr>
              <w:autoSpaceDE w:val="0"/>
              <w:autoSpaceDN w:val="0"/>
              <w:adjustRightInd w:val="0"/>
              <w:jc w:val="left"/>
              <w:rPr>
                <w:szCs w:val="28"/>
              </w:rPr>
            </w:pPr>
            <w:r>
              <w:rPr>
                <w:rFonts w:eastAsia="AdobeSongStd-Light"/>
                <w:kern w:val="0"/>
                <w:sz w:val="20"/>
              </w:rPr>
              <w:t>SCIE美国《科学引文索引》</w:t>
            </w:r>
          </w:p>
        </w:tc>
        <w:tc>
          <w:tcPr>
            <w:tcW w:w="913" w:type="dxa"/>
            <w:noWrap w:val="0"/>
            <w:vAlign w:val="center"/>
          </w:tcPr>
          <w:p w14:paraId="2DAF3C78">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否</w:t>
            </w:r>
          </w:p>
        </w:tc>
      </w:tr>
      <w:tr w14:paraId="52EBBD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361" w:type="dxa"/>
            <w:noWrap w:val="0"/>
            <w:vAlign w:val="center"/>
          </w:tcPr>
          <w:p w14:paraId="53E4DEDF">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2</w:t>
            </w:r>
          </w:p>
        </w:tc>
        <w:tc>
          <w:tcPr>
            <w:tcW w:w="2481" w:type="dxa"/>
            <w:noWrap w:val="0"/>
            <w:vAlign w:val="center"/>
          </w:tcPr>
          <w:p w14:paraId="3D1165FF">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Inactivation of harmful Anabaena flos-aquae by ultrasound irradiation: Cell disruption mechanism and enhanced coagulation</w:t>
            </w:r>
            <w:r>
              <w:rPr>
                <w:rFonts w:hint="eastAsia" w:ascii="Times New Roman"/>
                <w:sz w:val="21"/>
                <w:szCs w:val="28"/>
              </w:rPr>
              <w:t xml:space="preserve"> </w:t>
            </w:r>
            <w:r>
              <w:rPr>
                <w:rFonts w:ascii="Times New Roman"/>
                <w:sz w:val="21"/>
                <w:szCs w:val="28"/>
              </w:rPr>
              <w:t>/</w:t>
            </w:r>
            <w:r>
              <w:rPr>
                <w:rFonts w:hint="eastAsia" w:ascii="Times New Roman"/>
                <w:sz w:val="21"/>
                <w:szCs w:val="28"/>
              </w:rPr>
              <w:t xml:space="preserve"> </w:t>
            </w:r>
            <w:r>
              <w:rPr>
                <w:rFonts w:ascii="Times New Roman"/>
                <w:sz w:val="21"/>
                <w:szCs w:val="28"/>
              </w:rPr>
              <w:t>Ultrasonics Sonochemistry</w:t>
            </w:r>
            <w:r>
              <w:rPr>
                <w:rFonts w:hint="eastAsia" w:ascii="Times New Roman"/>
                <w:sz w:val="21"/>
                <w:szCs w:val="28"/>
              </w:rPr>
              <w:t xml:space="preserve"> </w:t>
            </w:r>
            <w:r>
              <w:rPr>
                <w:rFonts w:ascii="Times New Roman"/>
                <w:sz w:val="21"/>
                <w:szCs w:val="28"/>
              </w:rPr>
              <w:t>/</w:t>
            </w:r>
            <w:r>
              <w:rPr>
                <w:rFonts w:hint="eastAsia" w:ascii="Times New Roman"/>
                <w:sz w:val="21"/>
                <w:szCs w:val="28"/>
              </w:rPr>
              <w:t xml:space="preserve"> </w:t>
            </w:r>
            <w:r>
              <w:rPr>
                <w:rFonts w:ascii="Times New Roman"/>
                <w:sz w:val="21"/>
                <w:szCs w:val="28"/>
              </w:rPr>
              <w:t>Yazhou Peng, Zhi Zhang,⁎, Min Wang, Xueping Shi, Yingying Zhou, Yuanhang Zhou, Yuan Kong</w:t>
            </w:r>
          </w:p>
        </w:tc>
        <w:tc>
          <w:tcPr>
            <w:tcW w:w="779" w:type="dxa"/>
            <w:noWrap w:val="0"/>
            <w:vAlign w:val="center"/>
          </w:tcPr>
          <w:p w14:paraId="7AA6DBE7">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2020年69卷105254页</w:t>
            </w:r>
          </w:p>
        </w:tc>
        <w:tc>
          <w:tcPr>
            <w:tcW w:w="709" w:type="dxa"/>
            <w:noWrap w:val="0"/>
            <w:vAlign w:val="center"/>
          </w:tcPr>
          <w:p w14:paraId="30F16FF0">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2020年12月01日</w:t>
            </w:r>
          </w:p>
        </w:tc>
        <w:tc>
          <w:tcPr>
            <w:tcW w:w="709" w:type="dxa"/>
            <w:noWrap w:val="0"/>
            <w:vAlign w:val="center"/>
          </w:tcPr>
          <w:p w14:paraId="27D7D4C9">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张智</w:t>
            </w:r>
          </w:p>
        </w:tc>
        <w:tc>
          <w:tcPr>
            <w:tcW w:w="708" w:type="dxa"/>
            <w:noWrap w:val="0"/>
            <w:vAlign w:val="center"/>
          </w:tcPr>
          <w:p w14:paraId="09230838">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彭亚洲</w:t>
            </w:r>
          </w:p>
        </w:tc>
        <w:tc>
          <w:tcPr>
            <w:tcW w:w="993" w:type="dxa"/>
            <w:noWrap w:val="0"/>
            <w:vAlign w:val="center"/>
          </w:tcPr>
          <w:p w14:paraId="024B5F73">
            <w:pPr>
              <w:pStyle w:val="5"/>
              <w:adjustRightInd w:val="0"/>
              <w:spacing w:after="50" w:line="320" w:lineRule="exact"/>
              <w:ind w:firstLine="0" w:firstLineChars="0"/>
              <w:jc w:val="center"/>
              <w:outlineLvl w:val="1"/>
              <w:rPr>
                <w:rFonts w:ascii="Times New Roman"/>
                <w:sz w:val="21"/>
                <w:szCs w:val="28"/>
              </w:rPr>
            </w:pPr>
            <w:r>
              <w:rPr>
                <w:rFonts w:hint="eastAsia" w:ascii="Times New Roman"/>
                <w:sz w:val="21"/>
                <w:szCs w:val="28"/>
              </w:rPr>
              <w:t>重庆大学</w:t>
            </w:r>
          </w:p>
        </w:tc>
        <w:tc>
          <w:tcPr>
            <w:tcW w:w="993" w:type="dxa"/>
            <w:noWrap w:val="0"/>
            <w:vAlign w:val="center"/>
          </w:tcPr>
          <w:p w14:paraId="14EAD624">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彭亚洲</w:t>
            </w:r>
            <w:r>
              <w:rPr>
                <w:rFonts w:hint="eastAsia" w:ascii="Times New Roman"/>
                <w:sz w:val="21"/>
                <w:szCs w:val="28"/>
              </w:rPr>
              <w:t>（1）</w:t>
            </w:r>
            <w:r>
              <w:rPr>
                <w:rFonts w:ascii="Times New Roman"/>
                <w:sz w:val="21"/>
                <w:szCs w:val="28"/>
              </w:rPr>
              <w:t>，张智</w:t>
            </w:r>
            <w:r>
              <w:rPr>
                <w:rFonts w:hint="eastAsia" w:ascii="Times New Roman"/>
                <w:sz w:val="21"/>
                <w:szCs w:val="28"/>
              </w:rPr>
              <w:t>（2）</w:t>
            </w:r>
            <w:r>
              <w:rPr>
                <w:rFonts w:ascii="Times New Roman"/>
                <w:sz w:val="21"/>
                <w:szCs w:val="28"/>
              </w:rPr>
              <w:t>，周莹莹</w:t>
            </w:r>
            <w:r>
              <w:rPr>
                <w:rFonts w:hint="eastAsia" w:ascii="Times New Roman"/>
                <w:sz w:val="21"/>
                <w:szCs w:val="28"/>
              </w:rPr>
              <w:t>（5）</w:t>
            </w:r>
          </w:p>
        </w:tc>
        <w:tc>
          <w:tcPr>
            <w:tcW w:w="567" w:type="dxa"/>
            <w:noWrap w:val="0"/>
            <w:vAlign w:val="center"/>
          </w:tcPr>
          <w:p w14:paraId="57386BC2">
            <w:pPr>
              <w:pStyle w:val="5"/>
              <w:adjustRightInd w:val="0"/>
              <w:spacing w:after="50" w:line="320" w:lineRule="exact"/>
              <w:ind w:firstLine="0" w:firstLineChars="0"/>
              <w:jc w:val="center"/>
              <w:outlineLvl w:val="1"/>
              <w:rPr>
                <w:rFonts w:hint="eastAsia" w:ascii="Times New Roman"/>
                <w:sz w:val="21"/>
                <w:szCs w:val="28"/>
              </w:rPr>
            </w:pPr>
          </w:p>
        </w:tc>
        <w:tc>
          <w:tcPr>
            <w:tcW w:w="664" w:type="dxa"/>
            <w:noWrap w:val="0"/>
            <w:vAlign w:val="center"/>
          </w:tcPr>
          <w:p w14:paraId="646E480D">
            <w:pPr>
              <w:autoSpaceDE w:val="0"/>
              <w:autoSpaceDN w:val="0"/>
              <w:adjustRightInd w:val="0"/>
              <w:jc w:val="left"/>
              <w:rPr>
                <w:szCs w:val="28"/>
              </w:rPr>
            </w:pPr>
            <w:r>
              <w:rPr>
                <w:rFonts w:eastAsia="AdobeSongStd-Light"/>
                <w:kern w:val="0"/>
                <w:sz w:val="20"/>
              </w:rPr>
              <w:t>SCIE美国《科学引文索引》</w:t>
            </w:r>
          </w:p>
        </w:tc>
        <w:tc>
          <w:tcPr>
            <w:tcW w:w="913" w:type="dxa"/>
            <w:noWrap w:val="0"/>
            <w:vAlign w:val="center"/>
          </w:tcPr>
          <w:p w14:paraId="60F85305">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否</w:t>
            </w:r>
          </w:p>
        </w:tc>
      </w:tr>
      <w:tr w14:paraId="69FEAD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361" w:type="dxa"/>
            <w:noWrap w:val="0"/>
            <w:vAlign w:val="center"/>
          </w:tcPr>
          <w:p w14:paraId="217610DA">
            <w:pPr>
              <w:pStyle w:val="5"/>
              <w:adjustRightInd w:val="0"/>
              <w:spacing w:after="50" w:line="320" w:lineRule="exact"/>
              <w:ind w:firstLine="0" w:firstLineChars="0"/>
              <w:jc w:val="center"/>
              <w:outlineLvl w:val="1"/>
              <w:rPr>
                <w:rFonts w:ascii="Times New Roman"/>
                <w:sz w:val="21"/>
                <w:szCs w:val="28"/>
              </w:rPr>
            </w:pPr>
            <w:r>
              <w:rPr>
                <w:rFonts w:hint="eastAsia" w:ascii="Times New Roman"/>
                <w:sz w:val="21"/>
                <w:szCs w:val="28"/>
              </w:rPr>
              <w:t>3</w:t>
            </w:r>
          </w:p>
        </w:tc>
        <w:tc>
          <w:tcPr>
            <w:tcW w:w="2481" w:type="dxa"/>
            <w:noWrap w:val="0"/>
            <w:vAlign w:val="center"/>
          </w:tcPr>
          <w:p w14:paraId="31190A14">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Removal of Microcystis aeruginosa by ultrasound: Inactivation mechanism and release of algal organic matter</w:t>
            </w:r>
            <w:r>
              <w:rPr>
                <w:rFonts w:hint="eastAsia" w:ascii="Times New Roman"/>
                <w:sz w:val="21"/>
                <w:szCs w:val="28"/>
              </w:rPr>
              <w:t xml:space="preserve"> </w:t>
            </w:r>
            <w:r>
              <w:rPr>
                <w:rFonts w:ascii="Times New Roman"/>
                <w:sz w:val="21"/>
                <w:szCs w:val="28"/>
              </w:rPr>
              <w:t>/</w:t>
            </w:r>
            <w:r>
              <w:rPr>
                <w:rFonts w:hint="eastAsia" w:ascii="Times New Roman"/>
                <w:sz w:val="21"/>
                <w:szCs w:val="28"/>
              </w:rPr>
              <w:t xml:space="preserve"> </w:t>
            </w:r>
            <w:r>
              <w:rPr>
                <w:rFonts w:ascii="Times New Roman"/>
                <w:sz w:val="21"/>
                <w:szCs w:val="28"/>
              </w:rPr>
              <w:t>Ultrasonics Sonochemistry</w:t>
            </w:r>
            <w:r>
              <w:rPr>
                <w:rFonts w:hint="eastAsia" w:ascii="Times New Roman"/>
                <w:sz w:val="21"/>
                <w:szCs w:val="28"/>
              </w:rPr>
              <w:t xml:space="preserve"> </w:t>
            </w:r>
            <w:r>
              <w:rPr>
                <w:rFonts w:ascii="Times New Roman"/>
                <w:sz w:val="21"/>
                <w:szCs w:val="28"/>
              </w:rPr>
              <w:t>/</w:t>
            </w:r>
            <w:r>
              <w:rPr>
                <w:rFonts w:hint="eastAsia" w:ascii="Times New Roman"/>
                <w:sz w:val="21"/>
                <w:szCs w:val="28"/>
              </w:rPr>
              <w:t xml:space="preserve"> </w:t>
            </w:r>
            <w:r>
              <w:rPr>
                <w:rFonts w:ascii="Times New Roman"/>
                <w:sz w:val="21"/>
                <w:szCs w:val="28"/>
              </w:rPr>
              <w:t>Yuan Kong, Yazhou Peng, Zhi Zhang⁎, Meng Zhang, Yuanhang Zhou, Zhuang Duan</w:t>
            </w:r>
          </w:p>
        </w:tc>
        <w:tc>
          <w:tcPr>
            <w:tcW w:w="779" w:type="dxa"/>
            <w:noWrap w:val="0"/>
            <w:vAlign w:val="center"/>
          </w:tcPr>
          <w:p w14:paraId="4385D63B">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2019年56卷447-457页</w:t>
            </w:r>
          </w:p>
        </w:tc>
        <w:tc>
          <w:tcPr>
            <w:tcW w:w="709" w:type="dxa"/>
            <w:noWrap w:val="0"/>
            <w:vAlign w:val="center"/>
          </w:tcPr>
          <w:p w14:paraId="2E75D1AA">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2019年09月01日</w:t>
            </w:r>
          </w:p>
        </w:tc>
        <w:tc>
          <w:tcPr>
            <w:tcW w:w="709" w:type="dxa"/>
            <w:noWrap w:val="0"/>
            <w:vAlign w:val="center"/>
          </w:tcPr>
          <w:p w14:paraId="101B2ABA">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张智</w:t>
            </w:r>
          </w:p>
        </w:tc>
        <w:tc>
          <w:tcPr>
            <w:tcW w:w="708" w:type="dxa"/>
            <w:noWrap w:val="0"/>
            <w:vAlign w:val="center"/>
          </w:tcPr>
          <w:p w14:paraId="5D376C04">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孔媛</w:t>
            </w:r>
          </w:p>
        </w:tc>
        <w:tc>
          <w:tcPr>
            <w:tcW w:w="993" w:type="dxa"/>
            <w:noWrap w:val="0"/>
            <w:vAlign w:val="center"/>
          </w:tcPr>
          <w:p w14:paraId="3DA96D1F">
            <w:pPr>
              <w:pStyle w:val="5"/>
              <w:adjustRightInd w:val="0"/>
              <w:spacing w:after="50" w:line="320" w:lineRule="exact"/>
              <w:ind w:firstLine="0" w:firstLineChars="0"/>
              <w:jc w:val="center"/>
              <w:outlineLvl w:val="1"/>
              <w:rPr>
                <w:rFonts w:hint="eastAsia" w:ascii="Times New Roman"/>
                <w:sz w:val="21"/>
                <w:szCs w:val="28"/>
              </w:rPr>
            </w:pPr>
            <w:r>
              <w:rPr>
                <w:rFonts w:hint="eastAsia" w:ascii="Times New Roman"/>
                <w:sz w:val="21"/>
                <w:szCs w:val="28"/>
              </w:rPr>
              <w:t>重庆大学</w:t>
            </w:r>
          </w:p>
        </w:tc>
        <w:tc>
          <w:tcPr>
            <w:tcW w:w="993" w:type="dxa"/>
            <w:noWrap w:val="0"/>
            <w:vAlign w:val="center"/>
          </w:tcPr>
          <w:p w14:paraId="729B63D7">
            <w:pPr>
              <w:pStyle w:val="5"/>
              <w:adjustRightInd w:val="0"/>
              <w:spacing w:after="50" w:line="320" w:lineRule="exact"/>
              <w:ind w:firstLine="0" w:firstLineChars="0"/>
              <w:jc w:val="center"/>
              <w:outlineLvl w:val="1"/>
              <w:rPr>
                <w:rFonts w:hint="eastAsia" w:ascii="Times New Roman"/>
                <w:sz w:val="21"/>
                <w:szCs w:val="28"/>
              </w:rPr>
            </w:pPr>
            <w:r>
              <w:rPr>
                <w:rFonts w:ascii="Times New Roman"/>
                <w:sz w:val="21"/>
                <w:szCs w:val="28"/>
              </w:rPr>
              <w:t>彭亚洲</w:t>
            </w:r>
            <w:r>
              <w:rPr>
                <w:rFonts w:hint="eastAsia" w:ascii="Times New Roman"/>
                <w:sz w:val="21"/>
                <w:szCs w:val="28"/>
              </w:rPr>
              <w:t>（2）</w:t>
            </w:r>
            <w:r>
              <w:rPr>
                <w:rFonts w:ascii="Times New Roman"/>
                <w:sz w:val="21"/>
                <w:szCs w:val="28"/>
              </w:rPr>
              <w:t>，张智</w:t>
            </w:r>
            <w:r>
              <w:rPr>
                <w:rFonts w:hint="eastAsia" w:ascii="Times New Roman"/>
                <w:sz w:val="21"/>
                <w:szCs w:val="28"/>
              </w:rPr>
              <w:t>（3）</w:t>
            </w:r>
          </w:p>
        </w:tc>
        <w:tc>
          <w:tcPr>
            <w:tcW w:w="567" w:type="dxa"/>
            <w:noWrap w:val="0"/>
            <w:vAlign w:val="center"/>
          </w:tcPr>
          <w:p w14:paraId="3B31B336">
            <w:pPr>
              <w:pStyle w:val="5"/>
              <w:adjustRightInd w:val="0"/>
              <w:spacing w:after="50" w:line="320" w:lineRule="exact"/>
              <w:ind w:firstLine="0" w:firstLineChars="0"/>
              <w:jc w:val="center"/>
              <w:outlineLvl w:val="1"/>
              <w:rPr>
                <w:rFonts w:hint="eastAsia" w:ascii="Times New Roman"/>
                <w:sz w:val="21"/>
                <w:szCs w:val="28"/>
              </w:rPr>
            </w:pPr>
          </w:p>
        </w:tc>
        <w:tc>
          <w:tcPr>
            <w:tcW w:w="664" w:type="dxa"/>
            <w:noWrap w:val="0"/>
            <w:vAlign w:val="center"/>
          </w:tcPr>
          <w:p w14:paraId="37890616">
            <w:pPr>
              <w:autoSpaceDE w:val="0"/>
              <w:autoSpaceDN w:val="0"/>
              <w:adjustRightInd w:val="0"/>
              <w:jc w:val="left"/>
              <w:rPr>
                <w:rFonts w:eastAsia="AdobeSongStd-Light"/>
                <w:kern w:val="0"/>
                <w:sz w:val="20"/>
              </w:rPr>
            </w:pPr>
            <w:r>
              <w:rPr>
                <w:rFonts w:eastAsia="AdobeSongStd-Light"/>
                <w:kern w:val="0"/>
                <w:sz w:val="20"/>
              </w:rPr>
              <w:t>SCIE美国《科学引文索引》</w:t>
            </w:r>
          </w:p>
        </w:tc>
        <w:tc>
          <w:tcPr>
            <w:tcW w:w="913" w:type="dxa"/>
            <w:noWrap w:val="0"/>
            <w:vAlign w:val="center"/>
          </w:tcPr>
          <w:p w14:paraId="61919B12">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否</w:t>
            </w:r>
          </w:p>
        </w:tc>
      </w:tr>
      <w:tr w14:paraId="16C083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61" w:type="dxa"/>
            <w:noWrap w:val="0"/>
            <w:vAlign w:val="center"/>
          </w:tcPr>
          <w:p w14:paraId="51F38C85">
            <w:pPr>
              <w:pStyle w:val="5"/>
              <w:adjustRightInd w:val="0"/>
              <w:spacing w:after="50" w:line="320" w:lineRule="exact"/>
              <w:ind w:firstLine="0" w:firstLineChars="0"/>
              <w:jc w:val="center"/>
              <w:outlineLvl w:val="1"/>
              <w:rPr>
                <w:rFonts w:hint="eastAsia" w:ascii="Times New Roman"/>
                <w:sz w:val="21"/>
                <w:szCs w:val="28"/>
              </w:rPr>
            </w:pPr>
            <w:r>
              <w:rPr>
                <w:rFonts w:hint="eastAsia" w:ascii="Times New Roman"/>
                <w:sz w:val="21"/>
                <w:szCs w:val="28"/>
              </w:rPr>
              <w:t>4</w:t>
            </w:r>
          </w:p>
        </w:tc>
        <w:tc>
          <w:tcPr>
            <w:tcW w:w="2481" w:type="dxa"/>
            <w:noWrap w:val="0"/>
            <w:vAlign w:val="center"/>
          </w:tcPr>
          <w:p w14:paraId="28D0AB0B">
            <w:pPr>
              <w:pStyle w:val="5"/>
              <w:adjustRightInd w:val="0"/>
              <w:spacing w:after="50" w:line="320" w:lineRule="exact"/>
              <w:ind w:firstLine="0" w:firstLineChars="0"/>
              <w:jc w:val="center"/>
              <w:outlineLvl w:val="1"/>
              <w:rPr>
                <w:rFonts w:hint="default" w:ascii="Times New Roman" w:eastAsia="宋体"/>
                <w:sz w:val="21"/>
                <w:szCs w:val="28"/>
                <w:lang w:val="en-US" w:eastAsia="zh-CN"/>
              </w:rPr>
            </w:pPr>
            <w:r>
              <w:rPr>
                <w:rFonts w:ascii="Times New Roman"/>
                <w:sz w:val="21"/>
                <w:szCs w:val="28"/>
              </w:rPr>
              <w:t>Biological activity and molecular mechanism of inactivation of Microcystis aeruginosa by ultrasound irradiation</w:t>
            </w:r>
            <w:r>
              <w:rPr>
                <w:rFonts w:hint="eastAsia" w:ascii="Times New Roman"/>
                <w:sz w:val="21"/>
                <w:szCs w:val="28"/>
              </w:rPr>
              <w:t xml:space="preserve"> </w:t>
            </w:r>
            <w:r>
              <w:rPr>
                <w:rFonts w:ascii="Times New Roman"/>
                <w:sz w:val="21"/>
                <w:szCs w:val="28"/>
              </w:rPr>
              <w:t>/</w:t>
            </w:r>
            <w:r>
              <w:rPr>
                <w:rFonts w:hint="eastAsia" w:ascii="Times New Roman"/>
                <w:sz w:val="21"/>
                <w:szCs w:val="28"/>
              </w:rPr>
              <w:t xml:space="preserve"> </w:t>
            </w:r>
            <w:r>
              <w:rPr>
                <w:rFonts w:ascii="Times New Roman"/>
                <w:sz w:val="21"/>
                <w:szCs w:val="28"/>
              </w:rPr>
              <w:t>Journal of Hazardous Materials</w:t>
            </w:r>
            <w:r>
              <w:rPr>
                <w:rFonts w:hint="eastAsia" w:ascii="Times New Roman"/>
                <w:sz w:val="21"/>
                <w:szCs w:val="28"/>
              </w:rPr>
              <w:t xml:space="preserve"> </w:t>
            </w:r>
            <w:r>
              <w:rPr>
                <w:rFonts w:ascii="Times New Roman"/>
                <w:sz w:val="21"/>
                <w:szCs w:val="28"/>
              </w:rPr>
              <w:t>/</w:t>
            </w:r>
            <w:r>
              <w:rPr>
                <w:rFonts w:hint="eastAsia" w:ascii="Times New Roman"/>
                <w:sz w:val="21"/>
                <w:szCs w:val="28"/>
              </w:rPr>
              <w:t xml:space="preserve"> </w:t>
            </w:r>
            <w:r>
              <w:rPr>
                <w:rFonts w:ascii="Times New Roman"/>
                <w:sz w:val="21"/>
                <w:szCs w:val="28"/>
              </w:rPr>
              <w:t>Yazhou Peng</w:t>
            </w:r>
            <w:r>
              <w:rPr>
                <w:rFonts w:hint="eastAsia" w:ascii="Times New Roman"/>
                <w:sz w:val="21"/>
                <w:szCs w:val="28"/>
              </w:rPr>
              <w:t>,</w:t>
            </w:r>
            <w:r>
              <w:rPr>
                <w:rFonts w:ascii="Times New Roman"/>
                <w:sz w:val="21"/>
                <w:szCs w:val="28"/>
              </w:rPr>
              <w:t xml:space="preserve"> Xiang Xiao, Bozhi Ren</w:t>
            </w:r>
            <w:r>
              <w:rPr>
                <w:rFonts w:hint="eastAsia" w:ascii="Times New Roman"/>
                <w:sz w:val="21"/>
                <w:szCs w:val="28"/>
              </w:rPr>
              <w:t xml:space="preserve">, </w:t>
            </w:r>
            <w:r>
              <w:rPr>
                <w:rFonts w:ascii="Times New Roman"/>
                <w:sz w:val="21"/>
                <w:szCs w:val="28"/>
              </w:rPr>
              <w:t>Zhi Zhang</w:t>
            </w:r>
            <w:r>
              <w:rPr>
                <w:rFonts w:hint="eastAsia" w:ascii="Times New Roman"/>
                <w:sz w:val="21"/>
                <w:szCs w:val="28"/>
              </w:rPr>
              <w:t xml:space="preserve">, </w:t>
            </w:r>
            <w:r>
              <w:rPr>
                <w:rFonts w:ascii="Times New Roman"/>
                <w:sz w:val="21"/>
                <w:szCs w:val="28"/>
              </w:rPr>
              <w:t>Jun Luo</w:t>
            </w:r>
            <w:r>
              <w:rPr>
                <w:rFonts w:hint="eastAsia" w:ascii="Times New Roman"/>
                <w:sz w:val="21"/>
                <w:szCs w:val="28"/>
              </w:rPr>
              <w:t xml:space="preserve">, </w:t>
            </w:r>
            <w:r>
              <w:rPr>
                <w:rFonts w:ascii="Times New Roman"/>
                <w:sz w:val="21"/>
                <w:szCs w:val="28"/>
              </w:rPr>
              <w:t>Xiuzhen Yang</w:t>
            </w:r>
            <w:r>
              <w:rPr>
                <w:rFonts w:hint="eastAsia" w:ascii="Times New Roman"/>
                <w:sz w:val="21"/>
                <w:szCs w:val="28"/>
              </w:rPr>
              <w:t xml:space="preserve">, </w:t>
            </w:r>
            <w:r>
              <w:rPr>
                <w:rFonts w:hint="eastAsia" w:ascii="Times New Roman"/>
                <w:sz w:val="21"/>
                <w:szCs w:val="28"/>
                <w:lang w:val="en-US" w:eastAsia="zh-CN"/>
              </w:rPr>
              <w:t>Guocheng</w:t>
            </w:r>
            <w:r>
              <w:rPr>
                <w:rFonts w:ascii="Times New Roman"/>
                <w:sz w:val="21"/>
                <w:szCs w:val="28"/>
              </w:rPr>
              <w:t xml:space="preserve"> </w:t>
            </w:r>
            <w:r>
              <w:rPr>
                <w:rFonts w:hint="eastAsia" w:ascii="Times New Roman"/>
                <w:sz w:val="21"/>
                <w:szCs w:val="28"/>
                <w:lang w:val="en-US" w:eastAsia="zh-CN"/>
              </w:rPr>
              <w:t>Zhu</w:t>
            </w:r>
          </w:p>
        </w:tc>
        <w:tc>
          <w:tcPr>
            <w:tcW w:w="779" w:type="dxa"/>
            <w:noWrap w:val="0"/>
            <w:vAlign w:val="center"/>
          </w:tcPr>
          <w:p w14:paraId="3E5EEC39">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20</w:t>
            </w:r>
            <w:r>
              <w:rPr>
                <w:rFonts w:hint="eastAsia" w:ascii="Times New Roman"/>
                <w:sz w:val="21"/>
                <w:szCs w:val="28"/>
              </w:rPr>
              <w:t>24</w:t>
            </w:r>
            <w:r>
              <w:rPr>
                <w:rFonts w:ascii="Times New Roman"/>
                <w:sz w:val="21"/>
                <w:szCs w:val="28"/>
              </w:rPr>
              <w:t>年468卷133742页</w:t>
            </w:r>
          </w:p>
        </w:tc>
        <w:tc>
          <w:tcPr>
            <w:tcW w:w="709" w:type="dxa"/>
            <w:noWrap w:val="0"/>
            <w:vAlign w:val="center"/>
          </w:tcPr>
          <w:p w14:paraId="6BB3592A">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2019年</w:t>
            </w:r>
            <w:r>
              <w:rPr>
                <w:rFonts w:hint="eastAsia" w:ascii="Times New Roman"/>
                <w:sz w:val="21"/>
                <w:szCs w:val="28"/>
              </w:rPr>
              <w:t>04</w:t>
            </w:r>
            <w:r>
              <w:rPr>
                <w:rFonts w:ascii="Times New Roman"/>
                <w:sz w:val="21"/>
                <w:szCs w:val="28"/>
              </w:rPr>
              <w:t>月1</w:t>
            </w:r>
            <w:r>
              <w:rPr>
                <w:rFonts w:hint="eastAsia" w:ascii="Times New Roman"/>
                <w:sz w:val="21"/>
                <w:szCs w:val="28"/>
              </w:rPr>
              <w:t>5</w:t>
            </w:r>
            <w:r>
              <w:rPr>
                <w:rFonts w:ascii="Times New Roman"/>
                <w:sz w:val="21"/>
                <w:szCs w:val="28"/>
              </w:rPr>
              <w:t>日</w:t>
            </w:r>
          </w:p>
        </w:tc>
        <w:tc>
          <w:tcPr>
            <w:tcW w:w="709" w:type="dxa"/>
            <w:noWrap w:val="0"/>
            <w:vAlign w:val="center"/>
          </w:tcPr>
          <w:p w14:paraId="1924340B">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任伯帜</w:t>
            </w:r>
          </w:p>
        </w:tc>
        <w:tc>
          <w:tcPr>
            <w:tcW w:w="708" w:type="dxa"/>
            <w:noWrap w:val="0"/>
            <w:vAlign w:val="center"/>
          </w:tcPr>
          <w:p w14:paraId="69CB212E">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彭亚洲</w:t>
            </w:r>
          </w:p>
        </w:tc>
        <w:tc>
          <w:tcPr>
            <w:tcW w:w="993" w:type="dxa"/>
            <w:noWrap w:val="0"/>
            <w:vAlign w:val="center"/>
          </w:tcPr>
          <w:p w14:paraId="6507FC45">
            <w:pPr>
              <w:pStyle w:val="5"/>
              <w:adjustRightInd w:val="0"/>
              <w:spacing w:after="50" w:line="320" w:lineRule="exact"/>
              <w:ind w:firstLine="0" w:firstLineChars="0"/>
              <w:outlineLvl w:val="1"/>
              <w:rPr>
                <w:rFonts w:hint="eastAsia" w:ascii="Times New Roman"/>
                <w:sz w:val="21"/>
                <w:szCs w:val="28"/>
              </w:rPr>
            </w:pPr>
            <w:r>
              <w:rPr>
                <w:rFonts w:hint="eastAsia" w:ascii="Times New Roman"/>
                <w:sz w:val="21"/>
                <w:szCs w:val="28"/>
              </w:rPr>
              <w:t>湖南科技大学</w:t>
            </w:r>
          </w:p>
        </w:tc>
        <w:tc>
          <w:tcPr>
            <w:tcW w:w="993" w:type="dxa"/>
            <w:noWrap w:val="0"/>
            <w:vAlign w:val="center"/>
          </w:tcPr>
          <w:p w14:paraId="119290BD">
            <w:pPr>
              <w:pStyle w:val="5"/>
              <w:adjustRightInd w:val="0"/>
              <w:spacing w:after="50" w:line="320" w:lineRule="exact"/>
              <w:ind w:firstLine="0" w:firstLineChars="0"/>
              <w:jc w:val="center"/>
              <w:outlineLvl w:val="1"/>
              <w:rPr>
                <w:rFonts w:hint="default" w:ascii="Times New Roman" w:eastAsia="宋体"/>
                <w:sz w:val="21"/>
                <w:szCs w:val="28"/>
                <w:lang w:val="en-US" w:eastAsia="zh-CN"/>
              </w:rPr>
            </w:pPr>
            <w:r>
              <w:rPr>
                <w:rFonts w:ascii="Times New Roman"/>
                <w:sz w:val="21"/>
                <w:szCs w:val="28"/>
              </w:rPr>
              <w:t>彭亚洲</w:t>
            </w:r>
            <w:r>
              <w:rPr>
                <w:rFonts w:hint="eastAsia" w:ascii="Times New Roman"/>
                <w:sz w:val="21"/>
                <w:szCs w:val="28"/>
              </w:rPr>
              <w:t>（1）</w:t>
            </w:r>
            <w:r>
              <w:rPr>
                <w:rFonts w:ascii="Times New Roman"/>
                <w:sz w:val="21"/>
                <w:szCs w:val="28"/>
              </w:rPr>
              <w:t>，张智</w:t>
            </w:r>
            <w:r>
              <w:rPr>
                <w:rFonts w:hint="eastAsia" w:ascii="Times New Roman"/>
                <w:sz w:val="21"/>
                <w:szCs w:val="28"/>
              </w:rPr>
              <w:t>（4）</w:t>
            </w:r>
            <w:r>
              <w:rPr>
                <w:rFonts w:hint="eastAsia" w:ascii="Times New Roman"/>
                <w:sz w:val="21"/>
                <w:szCs w:val="28"/>
                <w:lang w:val="en-US" w:eastAsia="zh-CN"/>
              </w:rPr>
              <w:t>,杨秀珍（6），朱国成（7）</w:t>
            </w:r>
          </w:p>
        </w:tc>
        <w:tc>
          <w:tcPr>
            <w:tcW w:w="567" w:type="dxa"/>
            <w:noWrap w:val="0"/>
            <w:vAlign w:val="center"/>
          </w:tcPr>
          <w:p w14:paraId="439F08DA">
            <w:pPr>
              <w:pStyle w:val="5"/>
              <w:adjustRightInd w:val="0"/>
              <w:spacing w:after="50" w:line="320" w:lineRule="exact"/>
              <w:ind w:firstLine="0" w:firstLineChars="0"/>
              <w:jc w:val="center"/>
              <w:outlineLvl w:val="1"/>
              <w:rPr>
                <w:rFonts w:hint="eastAsia" w:ascii="Times New Roman"/>
                <w:sz w:val="21"/>
                <w:szCs w:val="28"/>
              </w:rPr>
            </w:pPr>
          </w:p>
        </w:tc>
        <w:tc>
          <w:tcPr>
            <w:tcW w:w="664" w:type="dxa"/>
            <w:noWrap w:val="0"/>
            <w:vAlign w:val="center"/>
          </w:tcPr>
          <w:p w14:paraId="124F7B21">
            <w:pPr>
              <w:autoSpaceDE w:val="0"/>
              <w:autoSpaceDN w:val="0"/>
              <w:adjustRightInd w:val="0"/>
              <w:jc w:val="left"/>
              <w:rPr>
                <w:szCs w:val="28"/>
              </w:rPr>
            </w:pPr>
            <w:r>
              <w:rPr>
                <w:rFonts w:eastAsia="AdobeSongStd-Light"/>
                <w:kern w:val="0"/>
                <w:sz w:val="20"/>
              </w:rPr>
              <w:t>SCIE美国《科学引文索引》</w:t>
            </w:r>
          </w:p>
        </w:tc>
        <w:tc>
          <w:tcPr>
            <w:tcW w:w="913" w:type="dxa"/>
            <w:noWrap w:val="0"/>
            <w:vAlign w:val="center"/>
          </w:tcPr>
          <w:p w14:paraId="7D37F94E">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否</w:t>
            </w:r>
          </w:p>
        </w:tc>
      </w:tr>
      <w:tr w14:paraId="4B4E25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61" w:type="dxa"/>
            <w:noWrap w:val="0"/>
            <w:vAlign w:val="center"/>
          </w:tcPr>
          <w:p w14:paraId="0CCA61F6">
            <w:pPr>
              <w:pStyle w:val="5"/>
              <w:adjustRightInd w:val="0"/>
              <w:spacing w:after="50" w:line="320" w:lineRule="exact"/>
              <w:ind w:firstLine="0" w:firstLineChars="0"/>
              <w:jc w:val="center"/>
              <w:outlineLvl w:val="1"/>
              <w:rPr>
                <w:rFonts w:ascii="Times New Roman"/>
                <w:sz w:val="21"/>
                <w:szCs w:val="28"/>
              </w:rPr>
            </w:pPr>
            <w:r>
              <w:rPr>
                <w:rFonts w:hint="eastAsia" w:ascii="Times New Roman"/>
                <w:sz w:val="21"/>
                <w:szCs w:val="28"/>
              </w:rPr>
              <w:t>5</w:t>
            </w:r>
          </w:p>
        </w:tc>
        <w:tc>
          <w:tcPr>
            <w:tcW w:w="2481" w:type="dxa"/>
            <w:noWrap w:val="0"/>
            <w:vAlign w:val="center"/>
          </w:tcPr>
          <w:p w14:paraId="4D9F95E1">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Removal of Anabaena by ultrasonic pretreatment enhancing-coagulation and water treatment processes</w:t>
            </w:r>
            <w:r>
              <w:rPr>
                <w:rFonts w:hint="eastAsia" w:ascii="Times New Roman"/>
                <w:sz w:val="21"/>
                <w:szCs w:val="28"/>
              </w:rPr>
              <w:t xml:space="preserve"> </w:t>
            </w:r>
            <w:r>
              <w:rPr>
                <w:rFonts w:ascii="Times New Roman"/>
                <w:sz w:val="21"/>
                <w:szCs w:val="28"/>
              </w:rPr>
              <w:t>/</w:t>
            </w:r>
            <w:r>
              <w:rPr>
                <w:rFonts w:hint="eastAsia" w:ascii="Times New Roman"/>
                <w:sz w:val="21"/>
                <w:szCs w:val="28"/>
              </w:rPr>
              <w:t xml:space="preserve"> </w:t>
            </w:r>
            <w:r>
              <w:rPr>
                <w:rFonts w:ascii="Times New Roman"/>
                <w:sz w:val="21"/>
                <w:szCs w:val="28"/>
              </w:rPr>
              <w:t>Journal of Cleaner Production</w:t>
            </w:r>
            <w:r>
              <w:rPr>
                <w:rFonts w:hint="eastAsia" w:ascii="Times New Roman"/>
                <w:sz w:val="21"/>
                <w:szCs w:val="28"/>
              </w:rPr>
              <w:t xml:space="preserve"> </w:t>
            </w:r>
            <w:r>
              <w:rPr>
                <w:rFonts w:ascii="Times New Roman"/>
                <w:sz w:val="21"/>
                <w:szCs w:val="28"/>
              </w:rPr>
              <w:t>/</w:t>
            </w:r>
            <w:r>
              <w:rPr>
                <w:rFonts w:hint="eastAsia" w:ascii="Times New Roman"/>
                <w:sz w:val="21"/>
                <w:szCs w:val="28"/>
              </w:rPr>
              <w:t xml:space="preserve"> </w:t>
            </w:r>
            <w:r>
              <w:rPr>
                <w:rFonts w:ascii="Times New Roman"/>
                <w:sz w:val="21"/>
                <w:szCs w:val="28"/>
              </w:rPr>
              <w:t>Yazhou Peng, Xiang Xiao, Bozhi Ren*, Zhi Zhang , Xueping Shi**, Chuang Wang, Wei Zhang</w:t>
            </w:r>
          </w:p>
        </w:tc>
        <w:tc>
          <w:tcPr>
            <w:tcW w:w="779" w:type="dxa"/>
            <w:noWrap w:val="0"/>
            <w:vAlign w:val="center"/>
          </w:tcPr>
          <w:p w14:paraId="76493178">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2024年447卷141521页</w:t>
            </w:r>
          </w:p>
        </w:tc>
        <w:tc>
          <w:tcPr>
            <w:tcW w:w="709" w:type="dxa"/>
            <w:noWrap w:val="0"/>
            <w:vAlign w:val="center"/>
          </w:tcPr>
          <w:p w14:paraId="1FB7B008">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2024年04月01日</w:t>
            </w:r>
          </w:p>
        </w:tc>
        <w:tc>
          <w:tcPr>
            <w:tcW w:w="709" w:type="dxa"/>
            <w:noWrap w:val="0"/>
            <w:vAlign w:val="center"/>
          </w:tcPr>
          <w:p w14:paraId="3C4FF700">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任伯帜</w:t>
            </w:r>
          </w:p>
        </w:tc>
        <w:tc>
          <w:tcPr>
            <w:tcW w:w="708" w:type="dxa"/>
            <w:noWrap w:val="0"/>
            <w:vAlign w:val="center"/>
          </w:tcPr>
          <w:p w14:paraId="4E5E1B4C">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彭亚洲</w:t>
            </w:r>
          </w:p>
        </w:tc>
        <w:tc>
          <w:tcPr>
            <w:tcW w:w="993" w:type="dxa"/>
            <w:noWrap w:val="0"/>
            <w:vAlign w:val="center"/>
          </w:tcPr>
          <w:p w14:paraId="66C57F9A">
            <w:pPr>
              <w:pStyle w:val="5"/>
              <w:adjustRightInd w:val="0"/>
              <w:spacing w:after="50" w:line="320" w:lineRule="exact"/>
              <w:ind w:firstLine="0" w:firstLineChars="0"/>
              <w:jc w:val="center"/>
              <w:outlineLvl w:val="1"/>
              <w:rPr>
                <w:rFonts w:hint="eastAsia" w:ascii="Times New Roman"/>
                <w:sz w:val="21"/>
                <w:szCs w:val="28"/>
              </w:rPr>
            </w:pPr>
            <w:r>
              <w:rPr>
                <w:rFonts w:hint="eastAsia" w:ascii="Times New Roman"/>
                <w:sz w:val="21"/>
                <w:szCs w:val="28"/>
              </w:rPr>
              <w:t>湖南科技大学</w:t>
            </w:r>
          </w:p>
        </w:tc>
        <w:tc>
          <w:tcPr>
            <w:tcW w:w="993" w:type="dxa"/>
            <w:noWrap w:val="0"/>
            <w:vAlign w:val="center"/>
          </w:tcPr>
          <w:p w14:paraId="5BD3C156">
            <w:pPr>
              <w:pStyle w:val="5"/>
              <w:adjustRightInd w:val="0"/>
              <w:spacing w:after="50" w:line="320" w:lineRule="exact"/>
              <w:ind w:firstLine="0" w:firstLineChars="0"/>
              <w:jc w:val="center"/>
              <w:outlineLvl w:val="1"/>
              <w:rPr>
                <w:rFonts w:hint="eastAsia" w:ascii="Times New Roman"/>
                <w:sz w:val="21"/>
                <w:szCs w:val="28"/>
              </w:rPr>
            </w:pPr>
            <w:r>
              <w:rPr>
                <w:rFonts w:ascii="Times New Roman"/>
                <w:sz w:val="21"/>
                <w:szCs w:val="28"/>
              </w:rPr>
              <w:t>彭亚洲</w:t>
            </w:r>
            <w:r>
              <w:rPr>
                <w:rFonts w:hint="eastAsia" w:ascii="Times New Roman"/>
                <w:sz w:val="21"/>
                <w:szCs w:val="28"/>
              </w:rPr>
              <w:t>（1）</w:t>
            </w:r>
            <w:r>
              <w:rPr>
                <w:rFonts w:ascii="Times New Roman"/>
                <w:sz w:val="21"/>
                <w:szCs w:val="28"/>
              </w:rPr>
              <w:t>，任伯帜</w:t>
            </w:r>
            <w:r>
              <w:rPr>
                <w:rFonts w:hint="eastAsia" w:ascii="Times New Roman"/>
                <w:sz w:val="21"/>
                <w:szCs w:val="28"/>
              </w:rPr>
              <w:t>（3）</w:t>
            </w:r>
            <w:r>
              <w:rPr>
                <w:rFonts w:ascii="Times New Roman"/>
                <w:sz w:val="21"/>
                <w:szCs w:val="28"/>
              </w:rPr>
              <w:t>，张智</w:t>
            </w:r>
            <w:r>
              <w:rPr>
                <w:rFonts w:hint="eastAsia" w:ascii="Times New Roman"/>
                <w:sz w:val="21"/>
                <w:szCs w:val="28"/>
              </w:rPr>
              <w:t>（4）</w:t>
            </w:r>
          </w:p>
        </w:tc>
        <w:tc>
          <w:tcPr>
            <w:tcW w:w="567" w:type="dxa"/>
            <w:noWrap w:val="0"/>
            <w:vAlign w:val="center"/>
          </w:tcPr>
          <w:p w14:paraId="7481CCB5">
            <w:pPr>
              <w:pStyle w:val="5"/>
              <w:adjustRightInd w:val="0"/>
              <w:spacing w:after="50" w:line="320" w:lineRule="exact"/>
              <w:ind w:firstLine="0" w:firstLineChars="0"/>
              <w:jc w:val="center"/>
              <w:outlineLvl w:val="1"/>
              <w:rPr>
                <w:rFonts w:hint="eastAsia" w:ascii="Times New Roman"/>
                <w:sz w:val="21"/>
                <w:szCs w:val="28"/>
              </w:rPr>
            </w:pPr>
          </w:p>
        </w:tc>
        <w:tc>
          <w:tcPr>
            <w:tcW w:w="664" w:type="dxa"/>
            <w:noWrap w:val="0"/>
            <w:vAlign w:val="center"/>
          </w:tcPr>
          <w:p w14:paraId="19497AF2">
            <w:pPr>
              <w:autoSpaceDE w:val="0"/>
              <w:autoSpaceDN w:val="0"/>
              <w:adjustRightInd w:val="0"/>
              <w:jc w:val="left"/>
              <w:rPr>
                <w:szCs w:val="28"/>
              </w:rPr>
            </w:pPr>
            <w:r>
              <w:rPr>
                <w:rFonts w:eastAsia="AdobeSongStd-Light"/>
                <w:kern w:val="0"/>
                <w:sz w:val="20"/>
              </w:rPr>
              <w:t>SCIE美国《科学引文索引》</w:t>
            </w:r>
          </w:p>
        </w:tc>
        <w:tc>
          <w:tcPr>
            <w:tcW w:w="913" w:type="dxa"/>
            <w:noWrap w:val="0"/>
            <w:vAlign w:val="center"/>
          </w:tcPr>
          <w:p w14:paraId="06BF2DA5">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否</w:t>
            </w:r>
          </w:p>
        </w:tc>
      </w:tr>
      <w:tr w14:paraId="38C03D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361" w:type="dxa"/>
            <w:noWrap w:val="0"/>
            <w:vAlign w:val="center"/>
          </w:tcPr>
          <w:p w14:paraId="231A79E5">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6</w:t>
            </w:r>
          </w:p>
        </w:tc>
        <w:tc>
          <w:tcPr>
            <w:tcW w:w="2481" w:type="dxa"/>
            <w:noWrap w:val="0"/>
            <w:vAlign w:val="center"/>
          </w:tcPr>
          <w:p w14:paraId="786C0A8A">
            <w:pPr>
              <w:pStyle w:val="5"/>
              <w:adjustRightInd w:val="0"/>
              <w:spacing w:after="50" w:line="320" w:lineRule="exact"/>
              <w:ind w:firstLine="0" w:firstLineChars="0"/>
              <w:jc w:val="center"/>
              <w:outlineLvl w:val="1"/>
              <w:rPr>
                <w:rFonts w:hint="eastAsia" w:ascii="Times New Roman"/>
                <w:sz w:val="21"/>
                <w:szCs w:val="28"/>
              </w:rPr>
            </w:pPr>
            <w:bookmarkStart w:id="1" w:name="OLE_LINK9"/>
            <w:r>
              <w:rPr>
                <w:rFonts w:hint="eastAsia" w:ascii="Times New Roman"/>
                <w:sz w:val="21"/>
                <w:szCs w:val="28"/>
              </w:rPr>
              <w:t xml:space="preserve">不同形态藻类的混凝效果及絮体特性 / </w:t>
            </w:r>
            <w:r>
              <w:rPr>
                <w:rFonts w:ascii="Times New Roman"/>
                <w:sz w:val="21"/>
                <w:szCs w:val="28"/>
              </w:rPr>
              <w:t>重庆大学学报</w:t>
            </w:r>
            <w:r>
              <w:rPr>
                <w:rFonts w:hint="eastAsia" w:ascii="Times New Roman"/>
                <w:sz w:val="21"/>
                <w:szCs w:val="28"/>
              </w:rPr>
              <w:t xml:space="preserve"> / 姚娟娟, 龚丹, 方艳娟, 张智</w:t>
            </w:r>
          </w:p>
          <w:bookmarkEnd w:id="1"/>
          <w:p w14:paraId="2ADDF31D">
            <w:pPr>
              <w:pStyle w:val="5"/>
              <w:adjustRightInd w:val="0"/>
              <w:spacing w:after="50" w:line="320" w:lineRule="exact"/>
              <w:ind w:firstLine="0" w:firstLineChars="0"/>
              <w:jc w:val="center"/>
              <w:outlineLvl w:val="1"/>
              <w:rPr>
                <w:rFonts w:ascii="Times New Roman"/>
                <w:sz w:val="21"/>
                <w:szCs w:val="28"/>
              </w:rPr>
            </w:pPr>
          </w:p>
        </w:tc>
        <w:tc>
          <w:tcPr>
            <w:tcW w:w="779" w:type="dxa"/>
            <w:noWrap w:val="0"/>
            <w:vAlign w:val="center"/>
          </w:tcPr>
          <w:p w14:paraId="4458778E">
            <w:pPr>
              <w:pStyle w:val="5"/>
              <w:adjustRightInd w:val="0"/>
              <w:spacing w:after="50" w:line="320" w:lineRule="exact"/>
              <w:ind w:firstLine="0" w:firstLineChars="0"/>
              <w:jc w:val="center"/>
              <w:outlineLvl w:val="1"/>
              <w:rPr>
                <w:rFonts w:ascii="Times New Roman"/>
                <w:sz w:val="21"/>
                <w:szCs w:val="28"/>
              </w:rPr>
            </w:pPr>
            <w:r>
              <w:rPr>
                <w:rFonts w:ascii="Times New Roman"/>
                <w:sz w:val="21"/>
                <w:szCs w:val="28"/>
              </w:rPr>
              <w:t>20</w:t>
            </w:r>
            <w:r>
              <w:rPr>
                <w:rFonts w:hint="eastAsia" w:ascii="Times New Roman"/>
                <w:sz w:val="21"/>
                <w:szCs w:val="28"/>
              </w:rPr>
              <w:t>22</w:t>
            </w:r>
            <w:r>
              <w:rPr>
                <w:rFonts w:ascii="Times New Roman"/>
                <w:sz w:val="21"/>
                <w:szCs w:val="28"/>
              </w:rPr>
              <w:t>年</w:t>
            </w:r>
            <w:r>
              <w:rPr>
                <w:rFonts w:hint="eastAsia" w:ascii="Times New Roman"/>
                <w:sz w:val="21"/>
                <w:szCs w:val="28"/>
              </w:rPr>
              <w:t>45</w:t>
            </w:r>
            <w:r>
              <w:rPr>
                <w:rFonts w:ascii="Times New Roman"/>
                <w:sz w:val="21"/>
                <w:szCs w:val="28"/>
              </w:rPr>
              <w:t>卷</w:t>
            </w:r>
            <w:r>
              <w:rPr>
                <w:rFonts w:hint="eastAsia" w:ascii="Times New Roman"/>
                <w:sz w:val="21"/>
                <w:szCs w:val="28"/>
              </w:rPr>
              <w:t>134-142</w:t>
            </w:r>
            <w:r>
              <w:rPr>
                <w:rFonts w:ascii="Times New Roman"/>
                <w:sz w:val="21"/>
                <w:szCs w:val="28"/>
              </w:rPr>
              <w:t>页</w:t>
            </w:r>
          </w:p>
        </w:tc>
        <w:tc>
          <w:tcPr>
            <w:tcW w:w="709" w:type="dxa"/>
            <w:noWrap w:val="0"/>
            <w:vAlign w:val="center"/>
          </w:tcPr>
          <w:p w14:paraId="4A4D8573">
            <w:pPr>
              <w:pStyle w:val="5"/>
              <w:adjustRightInd w:val="0"/>
              <w:spacing w:after="50" w:line="320" w:lineRule="exact"/>
              <w:ind w:firstLine="0" w:firstLineChars="0"/>
              <w:jc w:val="center"/>
              <w:outlineLvl w:val="1"/>
              <w:rPr>
                <w:rFonts w:ascii="Times New Roman"/>
                <w:sz w:val="21"/>
                <w:szCs w:val="28"/>
              </w:rPr>
            </w:pPr>
            <w:r>
              <w:rPr>
                <w:rFonts w:hint="eastAsia" w:ascii="Times New Roman"/>
                <w:sz w:val="21"/>
                <w:szCs w:val="28"/>
              </w:rPr>
              <w:t>2022年04月01日</w:t>
            </w:r>
          </w:p>
        </w:tc>
        <w:tc>
          <w:tcPr>
            <w:tcW w:w="709" w:type="dxa"/>
            <w:noWrap w:val="0"/>
            <w:vAlign w:val="center"/>
          </w:tcPr>
          <w:p w14:paraId="4EC68028">
            <w:pPr>
              <w:pStyle w:val="5"/>
              <w:adjustRightInd w:val="0"/>
              <w:spacing w:after="50" w:line="320" w:lineRule="exact"/>
              <w:ind w:firstLine="0" w:firstLineChars="0"/>
              <w:jc w:val="center"/>
              <w:outlineLvl w:val="1"/>
              <w:rPr>
                <w:rFonts w:ascii="Times New Roman"/>
                <w:sz w:val="21"/>
                <w:szCs w:val="28"/>
              </w:rPr>
            </w:pPr>
            <w:r>
              <w:rPr>
                <w:rFonts w:hint="eastAsia" w:ascii="Times New Roman"/>
                <w:sz w:val="21"/>
                <w:szCs w:val="28"/>
              </w:rPr>
              <w:t>姚娟娟</w:t>
            </w:r>
          </w:p>
        </w:tc>
        <w:tc>
          <w:tcPr>
            <w:tcW w:w="708" w:type="dxa"/>
            <w:noWrap w:val="0"/>
            <w:vAlign w:val="center"/>
          </w:tcPr>
          <w:p w14:paraId="43BF951A">
            <w:pPr>
              <w:pStyle w:val="5"/>
              <w:adjustRightInd w:val="0"/>
              <w:spacing w:after="50" w:line="320" w:lineRule="exact"/>
              <w:ind w:firstLine="0" w:firstLineChars="0"/>
              <w:jc w:val="center"/>
              <w:outlineLvl w:val="1"/>
              <w:rPr>
                <w:rFonts w:ascii="Times New Roman"/>
                <w:sz w:val="21"/>
                <w:szCs w:val="28"/>
              </w:rPr>
            </w:pPr>
            <w:r>
              <w:rPr>
                <w:rFonts w:hint="eastAsia" w:ascii="Times New Roman"/>
                <w:sz w:val="21"/>
                <w:szCs w:val="28"/>
              </w:rPr>
              <w:t>姚娟娟</w:t>
            </w:r>
          </w:p>
        </w:tc>
        <w:tc>
          <w:tcPr>
            <w:tcW w:w="993" w:type="dxa"/>
            <w:noWrap w:val="0"/>
            <w:vAlign w:val="center"/>
          </w:tcPr>
          <w:p w14:paraId="7D860270">
            <w:pPr>
              <w:pStyle w:val="5"/>
              <w:adjustRightInd w:val="0"/>
              <w:spacing w:after="50" w:line="320" w:lineRule="exact"/>
              <w:ind w:firstLine="0" w:firstLineChars="0"/>
              <w:jc w:val="center"/>
              <w:outlineLvl w:val="1"/>
              <w:rPr>
                <w:rFonts w:hint="eastAsia" w:ascii="Times New Roman"/>
                <w:sz w:val="21"/>
                <w:szCs w:val="28"/>
              </w:rPr>
            </w:pPr>
            <w:r>
              <w:rPr>
                <w:rFonts w:hint="eastAsia" w:ascii="Times New Roman"/>
                <w:sz w:val="21"/>
                <w:szCs w:val="28"/>
              </w:rPr>
              <w:t>重庆大学</w:t>
            </w:r>
          </w:p>
        </w:tc>
        <w:tc>
          <w:tcPr>
            <w:tcW w:w="993" w:type="dxa"/>
            <w:noWrap w:val="0"/>
            <w:vAlign w:val="center"/>
          </w:tcPr>
          <w:p w14:paraId="21BA1900">
            <w:pPr>
              <w:pStyle w:val="5"/>
              <w:adjustRightInd w:val="0"/>
              <w:spacing w:after="50" w:line="320" w:lineRule="exact"/>
              <w:ind w:firstLine="0" w:firstLineChars="0"/>
              <w:jc w:val="center"/>
              <w:outlineLvl w:val="1"/>
              <w:rPr>
                <w:rFonts w:hint="eastAsia" w:ascii="Times New Roman" w:eastAsia="宋体"/>
                <w:sz w:val="21"/>
                <w:szCs w:val="28"/>
                <w:lang w:eastAsia="zh-CN"/>
              </w:rPr>
            </w:pPr>
            <w:r>
              <w:rPr>
                <w:rFonts w:hint="eastAsia" w:ascii="Times New Roman"/>
                <w:sz w:val="21"/>
                <w:szCs w:val="28"/>
              </w:rPr>
              <w:t>姚娟娟</w:t>
            </w:r>
            <w:r>
              <w:rPr>
                <w:rFonts w:hint="eastAsia" w:ascii="Times New Roman"/>
                <w:sz w:val="21"/>
                <w:szCs w:val="28"/>
                <w:lang w:eastAsia="zh-CN"/>
              </w:rPr>
              <w:t>（</w:t>
            </w:r>
            <w:r>
              <w:rPr>
                <w:rFonts w:hint="eastAsia" w:ascii="Times New Roman"/>
                <w:sz w:val="21"/>
                <w:szCs w:val="28"/>
                <w:lang w:val="en-US" w:eastAsia="zh-CN"/>
              </w:rPr>
              <w:t>1</w:t>
            </w:r>
            <w:r>
              <w:rPr>
                <w:rFonts w:hint="eastAsia" w:ascii="Times New Roman"/>
                <w:sz w:val="21"/>
                <w:szCs w:val="28"/>
                <w:lang w:eastAsia="zh-CN"/>
              </w:rPr>
              <w:t>），</w:t>
            </w:r>
            <w:r>
              <w:rPr>
                <w:rFonts w:hint="eastAsia" w:ascii="Times New Roman"/>
                <w:sz w:val="21"/>
                <w:szCs w:val="28"/>
              </w:rPr>
              <w:t>张智</w:t>
            </w:r>
            <w:r>
              <w:rPr>
                <w:rFonts w:hint="eastAsia" w:ascii="Times New Roman"/>
                <w:sz w:val="21"/>
                <w:szCs w:val="28"/>
                <w:lang w:eastAsia="zh-CN"/>
              </w:rPr>
              <w:t>（</w:t>
            </w:r>
            <w:r>
              <w:rPr>
                <w:rFonts w:hint="eastAsia" w:ascii="Times New Roman"/>
                <w:sz w:val="21"/>
                <w:szCs w:val="28"/>
                <w:lang w:val="en-US" w:eastAsia="zh-CN"/>
              </w:rPr>
              <w:t>4</w:t>
            </w:r>
            <w:r>
              <w:rPr>
                <w:rFonts w:hint="eastAsia" w:ascii="Times New Roman"/>
                <w:sz w:val="21"/>
                <w:szCs w:val="28"/>
                <w:lang w:eastAsia="zh-CN"/>
              </w:rPr>
              <w:t>）</w:t>
            </w:r>
          </w:p>
        </w:tc>
        <w:tc>
          <w:tcPr>
            <w:tcW w:w="567" w:type="dxa"/>
            <w:noWrap w:val="0"/>
            <w:vAlign w:val="center"/>
          </w:tcPr>
          <w:p w14:paraId="57D97743">
            <w:pPr>
              <w:pStyle w:val="5"/>
              <w:adjustRightInd w:val="0"/>
              <w:spacing w:after="50" w:line="320" w:lineRule="exact"/>
              <w:ind w:firstLine="0" w:firstLineChars="0"/>
              <w:jc w:val="center"/>
              <w:outlineLvl w:val="1"/>
              <w:rPr>
                <w:rFonts w:ascii="Times New Roman"/>
                <w:sz w:val="21"/>
                <w:szCs w:val="28"/>
              </w:rPr>
            </w:pPr>
          </w:p>
        </w:tc>
        <w:tc>
          <w:tcPr>
            <w:tcW w:w="664" w:type="dxa"/>
            <w:noWrap w:val="0"/>
            <w:vAlign w:val="center"/>
          </w:tcPr>
          <w:p w14:paraId="5EFB9508">
            <w:pPr>
              <w:pStyle w:val="5"/>
              <w:adjustRightInd w:val="0"/>
              <w:spacing w:after="50" w:line="320" w:lineRule="exact"/>
              <w:ind w:firstLine="0" w:firstLineChars="0"/>
              <w:jc w:val="center"/>
              <w:outlineLvl w:val="1"/>
              <w:rPr>
                <w:rFonts w:ascii="Times New Roman"/>
                <w:sz w:val="21"/>
                <w:szCs w:val="28"/>
              </w:rPr>
            </w:pPr>
            <w:r>
              <w:rPr>
                <w:rFonts w:hint="eastAsia" w:ascii="Times New Roman"/>
                <w:sz w:val="21"/>
                <w:szCs w:val="28"/>
              </w:rPr>
              <w:t>中国知网</w:t>
            </w:r>
          </w:p>
        </w:tc>
        <w:tc>
          <w:tcPr>
            <w:tcW w:w="913" w:type="dxa"/>
            <w:noWrap w:val="0"/>
            <w:vAlign w:val="center"/>
          </w:tcPr>
          <w:p w14:paraId="695C7818">
            <w:pPr>
              <w:pStyle w:val="5"/>
              <w:adjustRightInd w:val="0"/>
              <w:spacing w:after="50" w:line="320" w:lineRule="exact"/>
              <w:ind w:firstLine="0" w:firstLineChars="0"/>
              <w:jc w:val="center"/>
              <w:outlineLvl w:val="1"/>
              <w:rPr>
                <w:rFonts w:hint="eastAsia" w:ascii="Times New Roman"/>
                <w:sz w:val="21"/>
                <w:szCs w:val="28"/>
              </w:rPr>
            </w:pPr>
            <w:r>
              <w:rPr>
                <w:rFonts w:hint="eastAsia" w:ascii="Times New Roman"/>
                <w:sz w:val="21"/>
                <w:szCs w:val="28"/>
              </w:rPr>
              <w:t>是</w:t>
            </w:r>
          </w:p>
        </w:tc>
      </w:tr>
    </w:tbl>
    <w:p w14:paraId="6BAB4273">
      <w:pPr>
        <w:ind w:firstLine="480" w:firstLineChars="200"/>
        <w:rPr>
          <w:sz w:val="24"/>
        </w:rPr>
      </w:pPr>
    </w:p>
    <w:p w14:paraId="77CFED87">
      <w:pPr>
        <w:rPr>
          <w:sz w:val="24"/>
        </w:rPr>
      </w:pPr>
      <w:r>
        <w:rPr>
          <w:rFonts w:hint="eastAsia"/>
          <w:b/>
          <w:bCs/>
          <w:sz w:val="24"/>
          <w:lang w:val="en-US" w:eastAsia="zh-CN"/>
        </w:rPr>
        <w:t>五、</w:t>
      </w:r>
      <w:r>
        <w:rPr>
          <w:b/>
          <w:bCs/>
          <w:sz w:val="24"/>
        </w:rPr>
        <w:t>主要完成人</w:t>
      </w:r>
      <w:r>
        <w:rPr>
          <w:rFonts w:hint="eastAsia"/>
          <w:b/>
          <w:bCs/>
          <w:sz w:val="24"/>
        </w:rPr>
        <w:t>：</w:t>
      </w:r>
      <w:r>
        <w:rPr>
          <w:rFonts w:hint="eastAsia"/>
          <w:b w:val="0"/>
          <w:bCs w:val="0"/>
          <w:sz w:val="24"/>
        </w:rPr>
        <w:t xml:space="preserve">彭亚洲 张智 姚娟娟 周莹莹 朱国成 杨秀贞 </w:t>
      </w:r>
    </w:p>
    <w:p w14:paraId="0B51F8FB">
      <w:pPr>
        <w:rPr>
          <w:sz w:val="24"/>
        </w:rPr>
      </w:pPr>
      <w:r>
        <w:rPr>
          <w:rFonts w:hint="eastAsia"/>
          <w:b/>
          <w:bCs/>
          <w:sz w:val="24"/>
          <w:lang w:val="en-US" w:eastAsia="zh-CN"/>
        </w:rPr>
        <w:t>六、</w:t>
      </w:r>
      <w:r>
        <w:rPr>
          <w:rFonts w:hint="eastAsia"/>
          <w:b/>
          <w:bCs/>
          <w:sz w:val="24"/>
        </w:rPr>
        <w:t>主要完成单位：</w:t>
      </w:r>
      <w:r>
        <w:rPr>
          <w:rFonts w:hint="eastAsia"/>
          <w:sz w:val="24"/>
        </w:rPr>
        <w:t>湖南科技大学  重庆大学  福建理工大学</w:t>
      </w:r>
    </w:p>
    <w:p w14:paraId="3D1CFE08">
      <w:pPr>
        <w:rPr>
          <w:rFonts w:hint="eastAsia"/>
          <w:b/>
          <w:bCs/>
          <w:sz w:val="24"/>
        </w:rPr>
      </w:pPr>
      <w:r>
        <w:rPr>
          <w:rFonts w:hint="eastAsia"/>
          <w:b/>
          <w:bCs/>
          <w:sz w:val="24"/>
          <w:lang w:val="en-US" w:eastAsia="zh-CN"/>
        </w:rPr>
        <w:t>七、</w:t>
      </w:r>
      <w:r>
        <w:rPr>
          <w:rFonts w:hint="eastAsia"/>
          <w:b/>
          <w:bCs/>
          <w:sz w:val="24"/>
        </w:rPr>
        <w:t>主要完成人合作关系说明（含汇总表）：</w:t>
      </w:r>
    </w:p>
    <w:p w14:paraId="46A4854D">
      <w:pPr>
        <w:ind w:firstLine="241" w:firstLineChars="100"/>
        <w:rPr>
          <w:rFonts w:hint="eastAsia"/>
          <w:b/>
          <w:bCs/>
          <w:sz w:val="24"/>
          <w:szCs w:val="18"/>
          <w:highlight w:val="cyan"/>
        </w:rPr>
      </w:pPr>
      <w:r>
        <w:rPr>
          <w:rFonts w:hint="eastAsia"/>
          <w:b/>
          <w:bCs/>
          <w:sz w:val="24"/>
          <w:szCs w:val="18"/>
          <w:lang w:eastAsia="zh-CN"/>
        </w:rPr>
        <w:t>（</w:t>
      </w:r>
      <w:r>
        <w:rPr>
          <w:rFonts w:hint="eastAsia"/>
          <w:b/>
          <w:bCs/>
          <w:sz w:val="24"/>
          <w:szCs w:val="18"/>
          <w:lang w:val="en-US" w:eastAsia="zh-CN"/>
        </w:rPr>
        <w:t>1</w:t>
      </w:r>
      <w:r>
        <w:rPr>
          <w:rFonts w:hint="eastAsia"/>
          <w:b/>
          <w:bCs/>
          <w:sz w:val="24"/>
          <w:szCs w:val="18"/>
          <w:lang w:eastAsia="zh-CN"/>
        </w:rPr>
        <w:t>）</w:t>
      </w:r>
      <w:r>
        <w:rPr>
          <w:b/>
          <w:bCs/>
          <w:sz w:val="24"/>
          <w:szCs w:val="18"/>
        </w:rPr>
        <w:t>与张智（第</w:t>
      </w:r>
      <w:r>
        <w:rPr>
          <w:rFonts w:hint="eastAsia"/>
          <w:b/>
          <w:bCs/>
          <w:sz w:val="24"/>
          <w:szCs w:val="18"/>
          <w:lang w:val="en-US" w:eastAsia="zh-CN"/>
        </w:rPr>
        <w:t>2</w:t>
      </w:r>
      <w:r>
        <w:rPr>
          <w:b/>
          <w:bCs/>
          <w:sz w:val="24"/>
          <w:szCs w:val="18"/>
        </w:rPr>
        <w:t>完成人）的合作关系说明</w:t>
      </w:r>
    </w:p>
    <w:p w14:paraId="5A365C84">
      <w:pPr>
        <w:pStyle w:val="4"/>
        <w:snapToGrid w:val="0"/>
        <w:spacing w:after="0" w:line="288" w:lineRule="auto"/>
        <w:ind w:firstLine="480" w:firstLineChars="200"/>
        <w:rPr>
          <w:bCs/>
          <w:sz w:val="24"/>
          <w:szCs w:val="24"/>
        </w:rPr>
      </w:pPr>
      <w:r>
        <w:rPr>
          <w:bCs/>
          <w:sz w:val="24"/>
          <w:szCs w:val="24"/>
        </w:rPr>
        <w:t>2016年至2021年期间，张智教授主持国家自然科学基金面上项目“超声辐射失活藻群特性与消毒副产物耦合机制研究”（51772028），第一完成人作为该项目主研人员</w:t>
      </w:r>
      <w:r>
        <w:rPr>
          <w:rFonts w:hint="eastAsia"/>
          <w:bCs/>
          <w:sz w:val="24"/>
          <w:szCs w:val="24"/>
        </w:rPr>
        <w:t>。</w:t>
      </w:r>
      <w:r>
        <w:rPr>
          <w:bCs/>
          <w:sz w:val="24"/>
          <w:szCs w:val="24"/>
        </w:rPr>
        <w:t>双方合作产出了系列高水平论文，包括代表作1、代表作2、代表作3、代表作4及代表作5，张智教授均为上述论文的合著者。该系列成果为本项目重要科学发现一</w:t>
      </w:r>
      <w:r>
        <w:rPr>
          <w:rFonts w:hint="eastAsia"/>
          <w:bCs/>
          <w:sz w:val="24"/>
          <w:szCs w:val="24"/>
        </w:rPr>
        <w:t>“</w:t>
      </w:r>
      <w:r>
        <w:rPr>
          <w:bCs/>
          <w:sz w:val="24"/>
          <w:szCs w:val="24"/>
        </w:rPr>
        <w:t>明晰藻细胞亚致死状态的生化特性，构建超声诱导藻细胞损伤的耦合机制模型</w:t>
      </w:r>
      <w:r>
        <w:rPr>
          <w:rFonts w:hint="eastAsia"/>
          <w:bCs/>
          <w:sz w:val="24"/>
          <w:szCs w:val="24"/>
        </w:rPr>
        <w:t>”</w:t>
      </w:r>
      <w:r>
        <w:rPr>
          <w:bCs/>
          <w:sz w:val="24"/>
          <w:szCs w:val="24"/>
        </w:rPr>
        <w:t>提供了关键实验数据积累，并为重要科学发现三</w:t>
      </w:r>
      <w:r>
        <w:rPr>
          <w:rFonts w:hint="eastAsia"/>
          <w:bCs/>
          <w:sz w:val="24"/>
          <w:szCs w:val="24"/>
        </w:rPr>
        <w:t>“</w:t>
      </w:r>
      <w:r>
        <w:rPr>
          <w:bCs/>
          <w:sz w:val="24"/>
          <w:szCs w:val="24"/>
        </w:rPr>
        <w:t>构建亚致死藻细胞在饮用水处理工艺中的安全控制理论与技术路径</w:t>
      </w:r>
      <w:r>
        <w:rPr>
          <w:rFonts w:hint="eastAsia"/>
          <w:bCs/>
          <w:sz w:val="24"/>
          <w:szCs w:val="24"/>
        </w:rPr>
        <w:t>”</w:t>
      </w:r>
      <w:r>
        <w:rPr>
          <w:bCs/>
          <w:sz w:val="24"/>
          <w:szCs w:val="24"/>
        </w:rPr>
        <w:t>中混凝-沉淀工艺优化的</w:t>
      </w:r>
      <w:r>
        <w:rPr>
          <w:rFonts w:hint="eastAsia"/>
          <w:bCs/>
          <w:sz w:val="24"/>
          <w:szCs w:val="24"/>
        </w:rPr>
        <w:t>研究</w:t>
      </w:r>
      <w:r>
        <w:rPr>
          <w:bCs/>
          <w:sz w:val="24"/>
          <w:szCs w:val="24"/>
        </w:rPr>
        <w:t>奠定了研究基础。此外</w:t>
      </w:r>
      <w:r>
        <w:rPr>
          <w:rFonts w:hint="eastAsia"/>
          <w:bCs/>
          <w:sz w:val="24"/>
          <w:szCs w:val="24"/>
        </w:rPr>
        <w:t>，</w:t>
      </w:r>
      <w:r>
        <w:rPr>
          <w:bCs/>
          <w:sz w:val="24"/>
          <w:szCs w:val="24"/>
        </w:rPr>
        <w:t>共同完成了澳大利亚革新专利“Emergency Algae Removal Device Based On Ultrasound-Enhanced Coagulation and Use Method Thereof”的研发与申报（专利号：202010172969.2）。</w:t>
      </w:r>
    </w:p>
    <w:p w14:paraId="61F39AE3">
      <w:pPr>
        <w:ind w:firstLine="241" w:firstLineChars="100"/>
        <w:rPr>
          <w:b/>
          <w:bCs/>
          <w:sz w:val="24"/>
          <w:szCs w:val="18"/>
        </w:rPr>
      </w:pPr>
      <w:r>
        <w:rPr>
          <w:rFonts w:hint="eastAsia"/>
          <w:b/>
          <w:bCs/>
          <w:sz w:val="24"/>
          <w:szCs w:val="18"/>
          <w:lang w:val="en-US" w:eastAsia="zh-CN"/>
        </w:rPr>
        <w:t>（2）</w:t>
      </w:r>
      <w:r>
        <w:rPr>
          <w:b/>
          <w:bCs/>
          <w:sz w:val="24"/>
          <w:szCs w:val="18"/>
        </w:rPr>
        <w:t>与</w:t>
      </w:r>
      <w:r>
        <w:rPr>
          <w:rFonts w:hint="eastAsia"/>
          <w:b/>
          <w:bCs/>
          <w:sz w:val="24"/>
          <w:szCs w:val="18"/>
        </w:rPr>
        <w:t>姚娟娟</w:t>
      </w:r>
      <w:r>
        <w:rPr>
          <w:b/>
          <w:bCs/>
          <w:sz w:val="24"/>
          <w:szCs w:val="18"/>
        </w:rPr>
        <w:t>（第</w:t>
      </w:r>
      <w:r>
        <w:rPr>
          <w:rFonts w:hint="eastAsia"/>
          <w:b/>
          <w:bCs/>
          <w:sz w:val="24"/>
          <w:szCs w:val="18"/>
          <w:lang w:val="en-US" w:eastAsia="zh-CN"/>
        </w:rPr>
        <w:t>3</w:t>
      </w:r>
      <w:r>
        <w:rPr>
          <w:b/>
          <w:bCs/>
          <w:sz w:val="24"/>
          <w:szCs w:val="18"/>
        </w:rPr>
        <w:t>完成人）的合作关系说明</w:t>
      </w:r>
    </w:p>
    <w:p w14:paraId="3766D572">
      <w:pPr>
        <w:pStyle w:val="4"/>
        <w:snapToGrid w:val="0"/>
        <w:spacing w:after="0" w:line="288" w:lineRule="auto"/>
        <w:ind w:firstLine="480" w:firstLineChars="200"/>
        <w:rPr>
          <w:bCs/>
          <w:sz w:val="24"/>
          <w:szCs w:val="24"/>
        </w:rPr>
      </w:pPr>
      <w:r>
        <w:rPr>
          <w:bCs/>
          <w:sz w:val="24"/>
          <w:szCs w:val="24"/>
        </w:rPr>
        <w:t>姚娟娟作为国家自然科学基金面上项目“超声辐射失活藻群特性与消毒副产物耦合机制研究”（51772028）的核心参与者，与第一完成人在超声控藻效能及饮用水处理工艺优化领域开展了长期合作。完成了不同形态藻类的混凝效果及絮体特性研究，合作产出了代表作6“不同形态藻类的混凝效果及絮体特性”（姚娟娟、张智等），该成果直接支撑了本项目重要科学发现三</w:t>
      </w:r>
      <w:r>
        <w:rPr>
          <w:rFonts w:hint="eastAsia"/>
          <w:bCs/>
          <w:sz w:val="24"/>
          <w:szCs w:val="24"/>
        </w:rPr>
        <w:t>“</w:t>
      </w:r>
      <w:r>
        <w:rPr>
          <w:bCs/>
          <w:sz w:val="24"/>
          <w:szCs w:val="24"/>
        </w:rPr>
        <w:t>构建亚致死藻细胞在饮用水处理工艺中的安全控制理论与技术路径</w:t>
      </w:r>
      <w:r>
        <w:rPr>
          <w:rFonts w:hint="eastAsia"/>
          <w:bCs/>
          <w:sz w:val="24"/>
          <w:szCs w:val="24"/>
        </w:rPr>
        <w:t>”</w:t>
      </w:r>
      <w:r>
        <w:rPr>
          <w:bCs/>
          <w:sz w:val="24"/>
          <w:szCs w:val="24"/>
        </w:rPr>
        <w:t>中混凝环节工艺优化的理论认知。在藻类基础特性研究层面，姚娟娟老师主导了铜绿微囊藻与针杆藻在不同生长阶段胞外有机物（EOM）的理化特性及消毒副产物形成潜势研究</w:t>
      </w:r>
      <w:r>
        <w:rPr>
          <w:rFonts w:hint="eastAsia"/>
          <w:bCs/>
          <w:sz w:val="24"/>
          <w:szCs w:val="24"/>
        </w:rPr>
        <w:t>，</w:t>
      </w:r>
      <w:r>
        <w:rPr>
          <w:bCs/>
          <w:sz w:val="24"/>
          <w:szCs w:val="24"/>
        </w:rPr>
        <w:t>为本项目重要科学发现三中DBPs前体物风险评估提供了关键基础数据。</w:t>
      </w:r>
      <w:r>
        <w:rPr>
          <w:rFonts w:hint="eastAsia"/>
          <w:bCs/>
          <w:sz w:val="24"/>
          <w:szCs w:val="24"/>
        </w:rPr>
        <w:t>与第二完成人</w:t>
      </w:r>
      <w:r>
        <w:rPr>
          <w:bCs/>
          <w:sz w:val="24"/>
          <w:szCs w:val="24"/>
        </w:rPr>
        <w:t>合作完成了超声抑制针杆藻光合活性的性能与机制研究</w:t>
      </w:r>
      <w:r>
        <w:rPr>
          <w:rFonts w:hint="eastAsia"/>
          <w:bCs/>
          <w:sz w:val="24"/>
          <w:szCs w:val="24"/>
        </w:rPr>
        <w:t>，</w:t>
      </w:r>
      <w:r>
        <w:rPr>
          <w:bCs/>
          <w:sz w:val="24"/>
          <w:szCs w:val="24"/>
        </w:rPr>
        <w:t>运用CFD数值模拟技术，系统开展了斜板沉淀池时变两相流场模拟与结构优化</w:t>
      </w:r>
      <w:r>
        <w:rPr>
          <w:rFonts w:hint="eastAsia"/>
          <w:bCs/>
          <w:sz w:val="24"/>
          <w:szCs w:val="24"/>
        </w:rPr>
        <w:t>，</w:t>
      </w:r>
      <w:r>
        <w:rPr>
          <w:bCs/>
          <w:sz w:val="24"/>
          <w:szCs w:val="24"/>
        </w:rPr>
        <w:t>以及网格絮凝池流场数值模拟</w:t>
      </w:r>
      <w:r>
        <w:rPr>
          <w:rFonts w:hint="eastAsia"/>
          <w:bCs/>
          <w:sz w:val="24"/>
          <w:szCs w:val="24"/>
        </w:rPr>
        <w:t>，</w:t>
      </w:r>
      <w:r>
        <w:rPr>
          <w:bCs/>
          <w:sz w:val="24"/>
          <w:szCs w:val="24"/>
        </w:rPr>
        <w:t>从水厂关键构筑物的流场优化角度为</w:t>
      </w:r>
      <w:r>
        <w:rPr>
          <w:sz w:val="24"/>
          <w:szCs w:val="24"/>
        </w:rPr>
        <w:t>重要科学发现三</w:t>
      </w:r>
      <w:r>
        <w:rPr>
          <w:bCs/>
          <w:sz w:val="24"/>
          <w:szCs w:val="24"/>
        </w:rPr>
        <w:t>中集成工艺路径的工程化设计与参数优化提供了数值模拟技术支持。</w:t>
      </w:r>
    </w:p>
    <w:p w14:paraId="6C8036F5">
      <w:pPr>
        <w:ind w:firstLine="241" w:firstLineChars="100"/>
        <w:rPr>
          <w:b/>
          <w:bCs/>
          <w:sz w:val="24"/>
          <w:szCs w:val="18"/>
        </w:rPr>
      </w:pPr>
      <w:r>
        <w:rPr>
          <w:rFonts w:hint="eastAsia"/>
          <w:b/>
          <w:bCs/>
          <w:sz w:val="24"/>
          <w:szCs w:val="18"/>
          <w:lang w:val="en-US" w:eastAsia="zh-CN"/>
        </w:rPr>
        <w:t>（3）</w:t>
      </w:r>
      <w:r>
        <w:rPr>
          <w:b/>
          <w:bCs/>
          <w:sz w:val="24"/>
          <w:szCs w:val="18"/>
        </w:rPr>
        <w:t>与周莹莹（第</w:t>
      </w:r>
      <w:r>
        <w:rPr>
          <w:rFonts w:hint="eastAsia"/>
          <w:b/>
          <w:bCs/>
          <w:sz w:val="24"/>
          <w:szCs w:val="18"/>
          <w:lang w:val="en-US" w:eastAsia="zh-CN"/>
        </w:rPr>
        <w:t>4</w:t>
      </w:r>
      <w:r>
        <w:rPr>
          <w:b/>
          <w:bCs/>
          <w:sz w:val="24"/>
          <w:szCs w:val="18"/>
        </w:rPr>
        <w:t>完成人）的合作关系说明</w:t>
      </w:r>
    </w:p>
    <w:p w14:paraId="02716247">
      <w:pPr>
        <w:pStyle w:val="4"/>
        <w:snapToGrid w:val="0"/>
        <w:spacing w:after="0" w:line="288" w:lineRule="auto"/>
        <w:ind w:firstLine="480" w:firstLineChars="200"/>
        <w:rPr>
          <w:bCs/>
          <w:sz w:val="24"/>
          <w:szCs w:val="24"/>
        </w:rPr>
      </w:pPr>
      <w:r>
        <w:rPr>
          <w:bCs/>
          <w:sz w:val="24"/>
          <w:szCs w:val="24"/>
        </w:rPr>
        <w:t>周莹莹与第一完成人在国家自然科学基金项目“超声辐射失活藻群特性与消毒副产物耦合机制研究”（51772028）框架下开展紧密合作，共同参与了超声对铜绿微囊藻细胞破坏及胞内有机物释放特性的实验研究。双方合作产出了代表性论文2篇：代表作1及代表作2，周莹莹老师均为论文合著者，在藻细胞培养、有机物分子量分级表征等方面作出了实质贡献。上述成果直接支撑了本项目重要科学发现一</w:t>
      </w:r>
      <w:r>
        <w:rPr>
          <w:rFonts w:hint="eastAsia"/>
          <w:bCs/>
          <w:sz w:val="24"/>
          <w:szCs w:val="24"/>
        </w:rPr>
        <w:t>“</w:t>
      </w:r>
      <w:r>
        <w:rPr>
          <w:bCs/>
          <w:sz w:val="24"/>
          <w:szCs w:val="24"/>
        </w:rPr>
        <w:t>明晰藻细胞亚致死状态的生化特性，构建超声诱导藻细胞损伤的耦合机制模型</w:t>
      </w:r>
      <w:r>
        <w:rPr>
          <w:rFonts w:hint="eastAsia"/>
          <w:bCs/>
          <w:sz w:val="24"/>
          <w:szCs w:val="24"/>
        </w:rPr>
        <w:t>”</w:t>
      </w:r>
      <w:r>
        <w:rPr>
          <w:bCs/>
          <w:sz w:val="24"/>
          <w:szCs w:val="24"/>
        </w:rPr>
        <w:t>中胞内有机物释放</w:t>
      </w:r>
      <w:r>
        <w:rPr>
          <w:rFonts w:hint="eastAsia"/>
          <w:bCs/>
          <w:sz w:val="24"/>
          <w:szCs w:val="24"/>
        </w:rPr>
        <w:t>特征</w:t>
      </w:r>
      <w:r>
        <w:rPr>
          <w:bCs/>
          <w:sz w:val="24"/>
          <w:szCs w:val="24"/>
        </w:rPr>
        <w:t>的系统表征。</w:t>
      </w:r>
    </w:p>
    <w:p w14:paraId="3A573DE4">
      <w:pPr>
        <w:ind w:firstLine="241" w:firstLineChars="100"/>
        <w:rPr>
          <w:b/>
          <w:bCs/>
          <w:sz w:val="24"/>
          <w:szCs w:val="18"/>
        </w:rPr>
      </w:pPr>
      <w:r>
        <w:rPr>
          <w:rFonts w:hint="eastAsia"/>
          <w:b/>
          <w:bCs/>
          <w:sz w:val="24"/>
          <w:szCs w:val="18"/>
          <w:lang w:val="en-US" w:eastAsia="zh-CN"/>
        </w:rPr>
        <w:t>（4）</w:t>
      </w:r>
      <w:r>
        <w:rPr>
          <w:b/>
          <w:bCs/>
          <w:sz w:val="24"/>
          <w:szCs w:val="18"/>
        </w:rPr>
        <w:t>与</w:t>
      </w:r>
      <w:r>
        <w:rPr>
          <w:rFonts w:hint="eastAsia"/>
          <w:b/>
          <w:bCs/>
          <w:sz w:val="24"/>
          <w:szCs w:val="18"/>
          <w:lang w:val="en-US" w:eastAsia="zh-CN"/>
        </w:rPr>
        <w:t>朱国成</w:t>
      </w:r>
      <w:r>
        <w:rPr>
          <w:b/>
          <w:bCs/>
          <w:sz w:val="24"/>
          <w:szCs w:val="18"/>
        </w:rPr>
        <w:t>（第</w:t>
      </w:r>
      <w:r>
        <w:rPr>
          <w:rFonts w:hint="eastAsia"/>
          <w:b/>
          <w:bCs/>
          <w:sz w:val="24"/>
          <w:szCs w:val="18"/>
          <w:lang w:val="en-US" w:eastAsia="zh-CN"/>
        </w:rPr>
        <w:t>5</w:t>
      </w:r>
      <w:r>
        <w:rPr>
          <w:b/>
          <w:bCs/>
          <w:sz w:val="24"/>
          <w:szCs w:val="18"/>
        </w:rPr>
        <w:t>完成人）的合作关系说明</w:t>
      </w:r>
    </w:p>
    <w:p w14:paraId="071A773F">
      <w:pPr>
        <w:pStyle w:val="4"/>
        <w:snapToGrid w:val="0"/>
        <w:spacing w:after="0" w:line="288" w:lineRule="auto"/>
        <w:ind w:firstLine="480" w:firstLineChars="200"/>
        <w:rPr>
          <w:bCs/>
          <w:sz w:val="24"/>
          <w:szCs w:val="24"/>
        </w:rPr>
      </w:pPr>
      <w:r>
        <w:rPr>
          <w:rFonts w:hint="eastAsia"/>
          <w:bCs/>
          <w:sz w:val="24"/>
          <w:szCs w:val="24"/>
        </w:rPr>
        <w:t>朱国成与</w:t>
      </w:r>
      <w:r>
        <w:rPr>
          <w:rFonts w:hint="eastAsia"/>
          <w:bCs/>
          <w:sz w:val="24"/>
          <w:szCs w:val="24"/>
          <w:lang w:val="en-US" w:eastAsia="zh-CN"/>
        </w:rPr>
        <w:t>第一</w:t>
      </w:r>
      <w:r>
        <w:rPr>
          <w:rFonts w:hint="eastAsia"/>
          <w:bCs/>
          <w:sz w:val="24"/>
          <w:szCs w:val="24"/>
        </w:rPr>
        <w:t>完成人共同开展了超声辐照诱导铜绿微囊藻亚致死损伤的生理活性与分子机制研究。双方作为共同作者参与完成代表作论文</w:t>
      </w:r>
      <w:r>
        <w:rPr>
          <w:rFonts w:hint="eastAsia"/>
          <w:bCs/>
          <w:sz w:val="24"/>
          <w:szCs w:val="24"/>
          <w:lang w:val="en-US" w:eastAsia="zh-CN"/>
        </w:rPr>
        <w:t>4，</w:t>
      </w:r>
      <w:r>
        <w:rPr>
          <w:rFonts w:hint="eastAsia"/>
          <w:bCs/>
          <w:sz w:val="24"/>
          <w:szCs w:val="24"/>
        </w:rPr>
        <w:t>在超声参数优化、藻细胞活性测定及光合系统基因表达分析等方面开展实质性合作，为阐明亚致死状态下藻细胞生理功能衰退而结构保持完整的分子机制提供了重要支撑，共同支撑了重要科学发现一和二。</w:t>
      </w:r>
    </w:p>
    <w:p w14:paraId="1FD3E3C8">
      <w:pPr>
        <w:numPr>
          <w:ilvl w:val="0"/>
          <w:numId w:val="0"/>
        </w:numPr>
        <w:ind w:firstLine="241" w:firstLineChars="100"/>
        <w:rPr>
          <w:b/>
          <w:bCs/>
          <w:sz w:val="24"/>
          <w:szCs w:val="18"/>
        </w:rPr>
      </w:pPr>
      <w:r>
        <w:rPr>
          <w:rFonts w:hint="eastAsia"/>
          <w:b/>
          <w:bCs/>
          <w:sz w:val="24"/>
          <w:szCs w:val="18"/>
          <w:lang w:eastAsia="zh-CN"/>
        </w:rPr>
        <w:t>（</w:t>
      </w:r>
      <w:r>
        <w:rPr>
          <w:rFonts w:hint="eastAsia"/>
          <w:b/>
          <w:bCs/>
          <w:sz w:val="24"/>
          <w:szCs w:val="18"/>
          <w:lang w:val="en-US" w:eastAsia="zh-CN"/>
        </w:rPr>
        <w:t>5</w:t>
      </w:r>
      <w:r>
        <w:rPr>
          <w:rFonts w:hint="eastAsia"/>
          <w:b/>
          <w:bCs/>
          <w:sz w:val="24"/>
          <w:szCs w:val="18"/>
          <w:lang w:eastAsia="zh-CN"/>
        </w:rPr>
        <w:t>）</w:t>
      </w:r>
      <w:r>
        <w:rPr>
          <w:b/>
          <w:bCs/>
          <w:sz w:val="24"/>
          <w:szCs w:val="18"/>
        </w:rPr>
        <w:t>与</w:t>
      </w:r>
      <w:r>
        <w:rPr>
          <w:rFonts w:hint="eastAsia"/>
          <w:b/>
          <w:bCs/>
          <w:sz w:val="24"/>
          <w:szCs w:val="18"/>
          <w:lang w:val="en-US" w:eastAsia="zh-CN"/>
        </w:rPr>
        <w:t>杨秀贞</w:t>
      </w:r>
      <w:r>
        <w:rPr>
          <w:b/>
          <w:bCs/>
          <w:sz w:val="24"/>
          <w:szCs w:val="18"/>
        </w:rPr>
        <w:t>（第</w:t>
      </w:r>
      <w:r>
        <w:rPr>
          <w:rFonts w:hint="eastAsia"/>
          <w:b/>
          <w:bCs/>
          <w:sz w:val="24"/>
          <w:szCs w:val="18"/>
          <w:lang w:val="en-US" w:eastAsia="zh-CN"/>
        </w:rPr>
        <w:t>6</w:t>
      </w:r>
      <w:r>
        <w:rPr>
          <w:b/>
          <w:bCs/>
          <w:sz w:val="24"/>
          <w:szCs w:val="18"/>
        </w:rPr>
        <w:t>完成人）的合作关系说明</w:t>
      </w:r>
    </w:p>
    <w:p w14:paraId="77F40235">
      <w:pPr>
        <w:numPr>
          <w:ilvl w:val="0"/>
          <w:numId w:val="0"/>
        </w:numPr>
        <w:ind w:firstLine="480" w:firstLineChars="200"/>
        <w:rPr>
          <w:rFonts w:hint="eastAsia"/>
          <w:b w:val="0"/>
          <w:bCs w:val="0"/>
          <w:sz w:val="24"/>
          <w:szCs w:val="18"/>
        </w:rPr>
      </w:pPr>
      <w:r>
        <w:rPr>
          <w:rFonts w:hint="eastAsia"/>
          <w:b w:val="0"/>
          <w:bCs w:val="0"/>
          <w:sz w:val="24"/>
          <w:szCs w:val="18"/>
        </w:rPr>
        <w:t>杨秀贞与</w:t>
      </w:r>
      <w:r>
        <w:rPr>
          <w:rFonts w:hint="eastAsia"/>
          <w:b w:val="0"/>
          <w:bCs w:val="0"/>
          <w:sz w:val="24"/>
          <w:szCs w:val="18"/>
          <w:lang w:val="en-US" w:eastAsia="zh-CN"/>
        </w:rPr>
        <w:t>第一</w:t>
      </w:r>
      <w:r>
        <w:rPr>
          <w:rFonts w:hint="eastAsia"/>
          <w:b w:val="0"/>
          <w:bCs w:val="0"/>
          <w:sz w:val="24"/>
          <w:szCs w:val="18"/>
        </w:rPr>
        <w:t>完成人共同参与了超声辐照诱导铜绿微囊藻亚致死损伤的生理活性与分子机制研究。双方作为共同作者参与完成代表作论文</w:t>
      </w:r>
      <w:r>
        <w:rPr>
          <w:rFonts w:hint="eastAsia"/>
          <w:b w:val="0"/>
          <w:bCs w:val="0"/>
          <w:sz w:val="24"/>
          <w:szCs w:val="18"/>
          <w:lang w:val="en-US" w:eastAsia="zh-CN"/>
        </w:rPr>
        <w:t>4</w:t>
      </w:r>
      <w:r>
        <w:rPr>
          <w:rFonts w:hint="eastAsia"/>
          <w:b w:val="0"/>
          <w:bCs w:val="0"/>
          <w:sz w:val="24"/>
          <w:szCs w:val="18"/>
        </w:rPr>
        <w:t>，在藻细胞生理活性指标测定、分子生物学实验操作及实验数据整理等方面开展合作，为亚致死状态下藻细胞光合系统及营养转运基因特异性抑制规律的解析提供了实验支撑，共同支撑了重要科学发现一和二。</w:t>
      </w:r>
    </w:p>
    <w:p w14:paraId="62D94A43">
      <w:pPr>
        <w:numPr>
          <w:ilvl w:val="0"/>
          <w:numId w:val="0"/>
        </w:numPr>
        <w:ind w:firstLine="482" w:firstLineChars="200"/>
        <w:rPr>
          <w:rFonts w:hint="eastAsia"/>
          <w:b/>
          <w:bCs/>
          <w:sz w:val="24"/>
          <w:szCs w:val="18"/>
        </w:rPr>
      </w:pPr>
      <w:r>
        <w:rPr>
          <w:rFonts w:hint="eastAsia"/>
          <w:b/>
          <w:bCs/>
          <w:sz w:val="24"/>
          <w:szCs w:val="18"/>
          <w:lang w:eastAsia="zh-CN"/>
        </w:rPr>
        <w:t>（</w:t>
      </w:r>
      <w:r>
        <w:rPr>
          <w:rFonts w:hint="eastAsia"/>
          <w:b/>
          <w:bCs/>
          <w:sz w:val="24"/>
          <w:szCs w:val="18"/>
          <w:lang w:val="en-US" w:eastAsia="zh-CN"/>
        </w:rPr>
        <w:t>6</w:t>
      </w:r>
      <w:r>
        <w:rPr>
          <w:rFonts w:hint="eastAsia"/>
          <w:b/>
          <w:bCs/>
          <w:sz w:val="24"/>
          <w:szCs w:val="18"/>
          <w:lang w:eastAsia="zh-CN"/>
        </w:rPr>
        <w:t>）</w:t>
      </w:r>
      <w:r>
        <w:rPr>
          <w:rFonts w:hint="eastAsia"/>
          <w:b/>
          <w:bCs/>
          <w:sz w:val="24"/>
          <w:szCs w:val="18"/>
        </w:rPr>
        <w:t>合作关系情况汇总表</w:t>
      </w:r>
    </w:p>
    <w:tbl>
      <w:tblPr>
        <w:tblStyle w:val="9"/>
        <w:tblW w:w="87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9"/>
        <w:gridCol w:w="1278"/>
        <w:gridCol w:w="1378"/>
        <w:gridCol w:w="1083"/>
        <w:gridCol w:w="1817"/>
        <w:gridCol w:w="1261"/>
        <w:gridCol w:w="1064"/>
      </w:tblGrid>
      <w:tr w14:paraId="5F98C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7" w:hRule="atLeast"/>
          <w:jc w:val="center"/>
        </w:trPr>
        <w:tc>
          <w:tcPr>
            <w:tcW w:w="819" w:type="dxa"/>
            <w:noWrap w:val="0"/>
            <w:vAlign w:val="center"/>
          </w:tcPr>
          <w:p w14:paraId="2D736238">
            <w:pPr>
              <w:spacing w:before="156" w:beforeLines="50" w:after="156" w:afterLines="50"/>
              <w:jc w:val="center"/>
              <w:rPr>
                <w:rFonts w:hint="default" w:ascii="Times New Roman" w:hAnsi="Times New Roman" w:cs="Times New Roman"/>
                <w:szCs w:val="21"/>
              </w:rPr>
            </w:pPr>
            <w:bookmarkStart w:id="2" w:name="_Hlk228012467"/>
            <w:bookmarkStart w:id="3" w:name="OLE_LINK21" w:colFirst="0" w:colLast="70"/>
            <w:bookmarkStart w:id="4" w:name="OLE_LINK20" w:colFirst="0" w:colLast="70"/>
            <w:r>
              <w:rPr>
                <w:rFonts w:hint="default" w:ascii="Times New Roman" w:hAnsi="Times New Roman" w:cs="Times New Roman"/>
                <w:szCs w:val="21"/>
              </w:rPr>
              <w:t>序号</w:t>
            </w:r>
          </w:p>
        </w:tc>
        <w:tc>
          <w:tcPr>
            <w:tcW w:w="1278" w:type="dxa"/>
            <w:noWrap w:val="0"/>
            <w:vAlign w:val="center"/>
          </w:tcPr>
          <w:p w14:paraId="12F0EA9A">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合作方式</w:t>
            </w:r>
          </w:p>
        </w:tc>
        <w:tc>
          <w:tcPr>
            <w:tcW w:w="1378" w:type="dxa"/>
            <w:noWrap w:val="0"/>
            <w:vAlign w:val="center"/>
          </w:tcPr>
          <w:p w14:paraId="7C1BF742">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合作者/排名</w:t>
            </w:r>
          </w:p>
        </w:tc>
        <w:tc>
          <w:tcPr>
            <w:tcW w:w="1083" w:type="dxa"/>
            <w:noWrap w:val="0"/>
            <w:vAlign w:val="center"/>
          </w:tcPr>
          <w:p w14:paraId="79DCB82A">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合作时间</w:t>
            </w:r>
          </w:p>
        </w:tc>
        <w:tc>
          <w:tcPr>
            <w:tcW w:w="1817" w:type="dxa"/>
            <w:noWrap w:val="0"/>
            <w:vAlign w:val="center"/>
          </w:tcPr>
          <w:p w14:paraId="7575D2DB">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合作成果</w:t>
            </w:r>
          </w:p>
        </w:tc>
        <w:tc>
          <w:tcPr>
            <w:tcW w:w="1261" w:type="dxa"/>
            <w:noWrap w:val="0"/>
            <w:vAlign w:val="center"/>
          </w:tcPr>
          <w:p w14:paraId="02E62B33">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证明材料</w:t>
            </w:r>
          </w:p>
        </w:tc>
        <w:tc>
          <w:tcPr>
            <w:tcW w:w="1064" w:type="dxa"/>
            <w:noWrap w:val="0"/>
            <w:vAlign w:val="center"/>
          </w:tcPr>
          <w:p w14:paraId="39BD4811">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备注</w:t>
            </w:r>
          </w:p>
        </w:tc>
      </w:tr>
      <w:tr w14:paraId="3FB2C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819" w:type="dxa"/>
            <w:noWrap w:val="0"/>
            <w:vAlign w:val="top"/>
          </w:tcPr>
          <w:p w14:paraId="1AF32B8F">
            <w:pPr>
              <w:spacing w:before="156" w:beforeLines="50" w:after="156" w:afterLines="50"/>
              <w:rPr>
                <w:rFonts w:hint="default" w:ascii="Times New Roman" w:hAnsi="Times New Roman" w:cs="Times New Roman"/>
                <w:sz w:val="24"/>
                <w:szCs w:val="24"/>
              </w:rPr>
            </w:pPr>
            <w:r>
              <w:rPr>
                <w:rFonts w:hint="default" w:ascii="Times New Roman" w:hAnsi="Times New Roman" w:cs="Times New Roman"/>
                <w:sz w:val="24"/>
                <w:szCs w:val="24"/>
              </w:rPr>
              <w:t>1</w:t>
            </w:r>
          </w:p>
        </w:tc>
        <w:tc>
          <w:tcPr>
            <w:tcW w:w="1278" w:type="dxa"/>
            <w:noWrap w:val="0"/>
            <w:vAlign w:val="top"/>
          </w:tcPr>
          <w:p w14:paraId="5EC731D4">
            <w:pPr>
              <w:spacing w:before="156" w:beforeLines="50" w:after="156" w:afterLines="50"/>
              <w:rPr>
                <w:rFonts w:hint="default" w:ascii="Times New Roman" w:hAnsi="Times New Roman" w:cs="Times New Roman"/>
                <w:sz w:val="24"/>
                <w:szCs w:val="24"/>
              </w:rPr>
            </w:pPr>
            <w:r>
              <w:rPr>
                <w:rFonts w:hint="default" w:ascii="Times New Roman" w:hAnsi="Times New Roman" w:cs="Times New Roman"/>
                <w:sz w:val="24"/>
                <w:szCs w:val="24"/>
              </w:rPr>
              <w:t>项目/论文</w:t>
            </w:r>
          </w:p>
        </w:tc>
        <w:tc>
          <w:tcPr>
            <w:tcW w:w="1378" w:type="dxa"/>
            <w:noWrap w:val="0"/>
            <w:vAlign w:val="top"/>
          </w:tcPr>
          <w:p w14:paraId="627291A1">
            <w:pPr>
              <w:spacing w:before="156" w:beforeLines="50" w:after="156" w:afterLines="50"/>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rPr>
              <w:t>张智/</w:t>
            </w:r>
            <w:r>
              <w:rPr>
                <w:rFonts w:hint="default" w:ascii="Times New Roman" w:hAnsi="Times New Roman" w:cs="Times New Roman"/>
                <w:sz w:val="24"/>
                <w:szCs w:val="24"/>
                <w:lang w:val="en-US" w:eastAsia="zh-CN"/>
              </w:rPr>
              <w:t>2</w:t>
            </w:r>
          </w:p>
        </w:tc>
        <w:tc>
          <w:tcPr>
            <w:tcW w:w="1083" w:type="dxa"/>
            <w:noWrap w:val="0"/>
            <w:vAlign w:val="top"/>
          </w:tcPr>
          <w:p w14:paraId="17A414D8">
            <w:pPr>
              <w:spacing w:before="156" w:beforeLines="50" w:after="156" w:afterLines="50"/>
              <w:rPr>
                <w:rFonts w:hint="default" w:ascii="Times New Roman" w:hAnsi="Times New Roman" w:eastAsia="宋体" w:cs="Times New Roman"/>
                <w:sz w:val="24"/>
                <w:szCs w:val="24"/>
                <w:lang w:eastAsia="zh-CN"/>
              </w:rPr>
            </w:pPr>
            <w:r>
              <w:rPr>
                <w:rFonts w:hint="default" w:ascii="Times New Roman" w:hAnsi="Times New Roman" w:cs="Times New Roman"/>
                <w:sz w:val="24"/>
                <w:szCs w:val="24"/>
              </w:rPr>
              <w:t>2016-202</w:t>
            </w:r>
            <w:r>
              <w:rPr>
                <w:rFonts w:hint="default" w:ascii="Times New Roman" w:hAnsi="Times New Roman" w:cs="Times New Roman"/>
                <w:sz w:val="24"/>
                <w:szCs w:val="24"/>
                <w:lang w:val="en-US" w:eastAsia="zh-CN"/>
              </w:rPr>
              <w:t>4</w:t>
            </w:r>
          </w:p>
        </w:tc>
        <w:tc>
          <w:tcPr>
            <w:tcW w:w="1817" w:type="dxa"/>
            <w:noWrap w:val="0"/>
            <w:vAlign w:val="top"/>
          </w:tcPr>
          <w:p w14:paraId="45B90A09">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sz w:val="16"/>
                <w:szCs w:val="21"/>
                <w:lang w:val="en-US" w:eastAsia="zh-CN"/>
              </w:rPr>
            </w:pPr>
            <w:r>
              <w:rPr>
                <w:rFonts w:hint="default" w:ascii="Times New Roman" w:hAnsi="Times New Roman" w:cs="Times New Roman"/>
                <w:sz w:val="16"/>
                <w:szCs w:val="21"/>
                <w:lang w:val="en-US" w:eastAsia="zh-CN"/>
              </w:rPr>
              <w:t xml:space="preserve">[1] </w:t>
            </w:r>
            <w:r>
              <w:rPr>
                <w:rFonts w:hint="default" w:ascii="Times New Roman" w:hAnsi="Times New Roman" w:cs="Times New Roman"/>
                <w:sz w:val="16"/>
                <w:szCs w:val="21"/>
              </w:rPr>
              <w:t>Effects of ultrasound on Microcystis aeruginosa cell destruction and release of intracellular organic matter</w:t>
            </w:r>
            <w:r>
              <w:rPr>
                <w:rFonts w:hint="default" w:ascii="Times New Roman" w:hAnsi="Times New Roman" w:cs="Times New Roman"/>
                <w:sz w:val="16"/>
                <w:szCs w:val="21"/>
                <w:lang w:val="en-US" w:eastAsia="zh-CN"/>
              </w:rPr>
              <w:t xml:space="preserve">; [2] </w:t>
            </w:r>
            <w:r>
              <w:rPr>
                <w:rFonts w:hint="default" w:ascii="Times New Roman" w:hAnsi="Times New Roman" w:cs="Times New Roman"/>
                <w:sz w:val="16"/>
                <w:szCs w:val="21"/>
              </w:rPr>
              <w:t>Inactivation of harmful Anabaena flos-aquae by ultrasound irradiation: Cell disruption mechanism and enhanced coagulation</w:t>
            </w:r>
            <w:r>
              <w:rPr>
                <w:rFonts w:hint="default" w:ascii="Times New Roman" w:hAnsi="Times New Roman" w:cs="Times New Roman"/>
                <w:sz w:val="16"/>
                <w:szCs w:val="21"/>
                <w:lang w:val="en-US" w:eastAsia="zh-CN"/>
              </w:rPr>
              <w:t>; [3] Removal of Microcystis aeruginosa by ultrasound: Inactivation mechanism and release of algal organic matter; [4] Biological activity and molecular mechanism of inactivation of Microcystis aeruginosa by ultrasound irradiation; [5] Removal of Anabaena by ultrasonic pretreatment enhancing-coagulation and water treatment processes; [6] 国家自然科学基金，超声辐射失活藻群特性与消毒副产物耦合机制研究</w:t>
            </w:r>
          </w:p>
        </w:tc>
        <w:tc>
          <w:tcPr>
            <w:tcW w:w="1261" w:type="dxa"/>
            <w:noWrap w:val="0"/>
            <w:vAlign w:val="top"/>
          </w:tcPr>
          <w:p w14:paraId="5E8669D0">
            <w:pPr>
              <w:adjustRightInd w:val="0"/>
              <w:snapToGrid w:val="0"/>
              <w:rPr>
                <w:rFonts w:hint="default" w:ascii="Times New Roman" w:hAnsi="Times New Roman" w:eastAsia="宋体" w:cs="Times New Roman"/>
                <w:sz w:val="24"/>
                <w:szCs w:val="24"/>
                <w:lang w:eastAsia="zh-CN"/>
              </w:rPr>
            </w:pPr>
            <w:bookmarkStart w:id="5" w:name="OLE_LINK34"/>
            <w:r>
              <w:rPr>
                <w:rFonts w:hint="default" w:ascii="Times New Roman" w:hAnsi="Times New Roman" w:cs="Times New Roman"/>
                <w:sz w:val="24"/>
                <w:szCs w:val="24"/>
              </w:rPr>
              <w:t>附件1-1</w:t>
            </w:r>
            <w:bookmarkEnd w:id="5"/>
            <w:r>
              <w:rPr>
                <w:rFonts w:hint="default" w:ascii="Times New Roman" w:hAnsi="Times New Roman" w:cs="Times New Roman"/>
                <w:sz w:val="24"/>
                <w:szCs w:val="24"/>
                <w:lang w:eastAsia="zh-CN"/>
              </w:rPr>
              <w:t>、</w:t>
            </w: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2、</w:t>
            </w: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3、</w:t>
            </w: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4、</w:t>
            </w:r>
            <w:r>
              <w:rPr>
                <w:rFonts w:hint="default" w:ascii="Times New Roman" w:hAnsi="Times New Roman" w:cs="Times New Roman"/>
                <w:sz w:val="24"/>
                <w:szCs w:val="24"/>
              </w:rPr>
              <w:t>1-5</w:t>
            </w:r>
            <w:r>
              <w:rPr>
                <w:rFonts w:hint="default" w:ascii="Times New Roman" w:hAnsi="Times New Roman" w:cs="Times New Roman"/>
                <w:sz w:val="24"/>
                <w:szCs w:val="24"/>
                <w:lang w:eastAsia="zh-CN"/>
              </w:rPr>
              <w:t>；</w:t>
            </w:r>
          </w:p>
          <w:p w14:paraId="56011CEE">
            <w:pPr>
              <w:pStyle w:val="4"/>
              <w:adjustRightInd w:val="0"/>
              <w:snapToGrid w:val="0"/>
              <w:spacing w:after="0"/>
              <w:rPr>
                <w:rFonts w:hint="default" w:ascii="Times New Roman" w:hAnsi="Times New Roman" w:cs="Times New Roman"/>
              </w:rPr>
            </w:pPr>
            <w:bookmarkStart w:id="6" w:name="OLE_LINK18"/>
            <w:r>
              <w:rPr>
                <w:rFonts w:hint="default" w:ascii="Times New Roman" w:hAnsi="Times New Roman" w:cs="Times New Roman"/>
                <w:sz w:val="24"/>
                <w:szCs w:val="24"/>
              </w:rPr>
              <w:t>附件</w:t>
            </w:r>
            <w:bookmarkEnd w:id="6"/>
            <w:r>
              <w:rPr>
                <w:rFonts w:hint="default" w:ascii="Times New Roman" w:hAnsi="Times New Roman" w:cs="Times New Roman"/>
                <w:sz w:val="24"/>
                <w:szCs w:val="24"/>
              </w:rPr>
              <w:t>7-1</w:t>
            </w:r>
          </w:p>
        </w:tc>
        <w:tc>
          <w:tcPr>
            <w:tcW w:w="1064" w:type="dxa"/>
            <w:noWrap w:val="0"/>
            <w:vAlign w:val="top"/>
          </w:tcPr>
          <w:p w14:paraId="1F5F6DB2">
            <w:pPr>
              <w:spacing w:before="156" w:beforeLines="50" w:after="156" w:afterLines="50"/>
              <w:rPr>
                <w:rFonts w:hint="default" w:ascii="Times New Roman" w:hAnsi="Times New Roman" w:cs="Times New Roman"/>
                <w:sz w:val="24"/>
                <w:szCs w:val="24"/>
              </w:rPr>
            </w:pPr>
          </w:p>
        </w:tc>
      </w:tr>
      <w:tr w14:paraId="6957A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819" w:type="dxa"/>
            <w:noWrap w:val="0"/>
            <w:vAlign w:val="top"/>
          </w:tcPr>
          <w:p w14:paraId="28116A92">
            <w:pPr>
              <w:spacing w:before="156" w:beforeLines="50" w:after="156" w:afterLines="50"/>
              <w:rPr>
                <w:rFonts w:hint="default" w:ascii="Times New Roman" w:hAnsi="Times New Roman" w:cs="Times New Roman"/>
                <w:sz w:val="24"/>
                <w:szCs w:val="24"/>
              </w:rPr>
            </w:pPr>
            <w:r>
              <w:rPr>
                <w:rFonts w:hint="default" w:ascii="Times New Roman" w:hAnsi="Times New Roman" w:cs="Times New Roman"/>
                <w:sz w:val="24"/>
                <w:szCs w:val="24"/>
              </w:rPr>
              <w:t>2</w:t>
            </w:r>
          </w:p>
        </w:tc>
        <w:tc>
          <w:tcPr>
            <w:tcW w:w="1278" w:type="dxa"/>
            <w:noWrap w:val="0"/>
            <w:vAlign w:val="top"/>
          </w:tcPr>
          <w:p w14:paraId="4D32DC11">
            <w:pPr>
              <w:spacing w:before="156" w:beforeLines="50" w:after="156" w:afterLines="50"/>
              <w:rPr>
                <w:rFonts w:hint="default" w:ascii="Times New Roman" w:hAnsi="Times New Roman" w:cs="Times New Roman"/>
                <w:sz w:val="24"/>
                <w:szCs w:val="24"/>
              </w:rPr>
            </w:pPr>
            <w:r>
              <w:rPr>
                <w:rFonts w:hint="default" w:ascii="Times New Roman" w:hAnsi="Times New Roman" w:cs="Times New Roman"/>
                <w:sz w:val="24"/>
                <w:szCs w:val="24"/>
              </w:rPr>
              <w:t>项目/论文</w:t>
            </w:r>
          </w:p>
        </w:tc>
        <w:tc>
          <w:tcPr>
            <w:tcW w:w="1378" w:type="dxa"/>
            <w:noWrap w:val="0"/>
            <w:vAlign w:val="top"/>
          </w:tcPr>
          <w:p w14:paraId="4CAB5BA5">
            <w:pPr>
              <w:spacing w:before="156" w:beforeLines="50" w:after="156" w:afterLines="50"/>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rPr>
              <w:t>姚娟娟/</w:t>
            </w:r>
            <w:r>
              <w:rPr>
                <w:rFonts w:hint="default" w:ascii="Times New Roman" w:hAnsi="Times New Roman" w:cs="Times New Roman"/>
                <w:sz w:val="24"/>
                <w:szCs w:val="24"/>
                <w:lang w:val="en-US" w:eastAsia="zh-CN"/>
              </w:rPr>
              <w:t>3</w:t>
            </w:r>
          </w:p>
        </w:tc>
        <w:tc>
          <w:tcPr>
            <w:tcW w:w="1083" w:type="dxa"/>
            <w:noWrap w:val="0"/>
            <w:vAlign w:val="top"/>
          </w:tcPr>
          <w:p w14:paraId="66E70994">
            <w:pPr>
              <w:spacing w:before="156" w:beforeLines="50" w:after="156" w:afterLines="50"/>
              <w:rPr>
                <w:rFonts w:hint="default" w:ascii="Times New Roman" w:hAnsi="Times New Roman" w:cs="Times New Roman"/>
                <w:sz w:val="24"/>
                <w:szCs w:val="24"/>
              </w:rPr>
            </w:pPr>
            <w:r>
              <w:rPr>
                <w:rFonts w:hint="default" w:ascii="Times New Roman" w:hAnsi="Times New Roman" w:cs="Times New Roman"/>
                <w:sz w:val="24"/>
                <w:szCs w:val="24"/>
              </w:rPr>
              <w:t>20</w:t>
            </w:r>
            <w:r>
              <w:rPr>
                <w:rFonts w:hint="default" w:ascii="Times New Roman" w:hAnsi="Times New Roman" w:cs="Times New Roman"/>
                <w:sz w:val="24"/>
                <w:szCs w:val="24"/>
                <w:lang w:val="en-US" w:eastAsia="zh-CN"/>
              </w:rPr>
              <w:t>16</w:t>
            </w:r>
            <w:r>
              <w:rPr>
                <w:rFonts w:hint="default" w:ascii="Times New Roman" w:hAnsi="Times New Roman" w:cs="Times New Roman"/>
                <w:sz w:val="24"/>
                <w:szCs w:val="24"/>
              </w:rPr>
              <w:t>-2024</w:t>
            </w:r>
          </w:p>
        </w:tc>
        <w:tc>
          <w:tcPr>
            <w:tcW w:w="1817" w:type="dxa"/>
            <w:noWrap w:val="0"/>
            <w:vAlign w:val="top"/>
          </w:tcPr>
          <w:p w14:paraId="1B1CDC3F">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宋体" w:cs="Times New Roman"/>
                <w:sz w:val="20"/>
                <w:szCs w:val="20"/>
                <w:lang w:val="en-US" w:eastAsia="zh-CN"/>
              </w:rPr>
            </w:pPr>
            <w:r>
              <w:rPr>
                <w:rFonts w:hint="default" w:ascii="Times New Roman" w:hAnsi="Times New Roman" w:eastAsia="宋体" w:cs="Times New Roman"/>
                <w:sz w:val="16"/>
                <w:szCs w:val="21"/>
                <w:lang w:val="en-US" w:eastAsia="zh-CN"/>
              </w:rPr>
              <w:t>[1] 不同形态藻类的混凝效果及絮体特性; [2] 国家自然科学基金，超声辐射失活藻群特性与消毒副产物耦合机制研究</w:t>
            </w:r>
          </w:p>
        </w:tc>
        <w:tc>
          <w:tcPr>
            <w:tcW w:w="1261" w:type="dxa"/>
            <w:noWrap w:val="0"/>
            <w:vAlign w:val="top"/>
          </w:tcPr>
          <w:p w14:paraId="28C91BB0">
            <w:pPr>
              <w:adjustRightInd w:val="0"/>
              <w:snapToGrid w:val="0"/>
              <w:spacing w:before="156" w:beforeLines="50" w:after="156" w:afterLines="50"/>
              <w:rPr>
                <w:rFonts w:hint="default" w:ascii="Times New Roman" w:hAnsi="Times New Roman" w:cs="Times New Roman"/>
                <w:sz w:val="24"/>
                <w:szCs w:val="24"/>
                <w:lang w:val="en-US" w:eastAsia="zh-CN"/>
              </w:rPr>
            </w:pPr>
            <w:r>
              <w:rPr>
                <w:rFonts w:hint="default" w:ascii="Times New Roman" w:hAnsi="Times New Roman" w:cs="Times New Roman"/>
                <w:sz w:val="24"/>
                <w:szCs w:val="24"/>
              </w:rPr>
              <w:t>附件1-</w:t>
            </w:r>
            <w:r>
              <w:rPr>
                <w:rFonts w:hint="default" w:ascii="Times New Roman" w:hAnsi="Times New Roman" w:cs="Times New Roman"/>
                <w:sz w:val="24"/>
                <w:szCs w:val="24"/>
                <w:lang w:val="en-US" w:eastAsia="zh-CN"/>
              </w:rPr>
              <w:t>6</w:t>
            </w:r>
          </w:p>
          <w:p w14:paraId="2CAC44E7">
            <w:pPr>
              <w:adjustRightInd w:val="0"/>
              <w:snapToGrid w:val="0"/>
              <w:spacing w:before="156" w:beforeLines="50" w:after="156" w:afterLines="5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附件7-1</w:t>
            </w:r>
          </w:p>
        </w:tc>
        <w:tc>
          <w:tcPr>
            <w:tcW w:w="1064" w:type="dxa"/>
            <w:noWrap w:val="0"/>
            <w:vAlign w:val="top"/>
          </w:tcPr>
          <w:p w14:paraId="05D955E4">
            <w:pPr>
              <w:spacing w:before="156" w:beforeLines="50" w:after="156" w:afterLines="50"/>
              <w:rPr>
                <w:rFonts w:hint="default" w:ascii="Times New Roman" w:hAnsi="Times New Roman" w:cs="Times New Roman"/>
                <w:sz w:val="24"/>
                <w:szCs w:val="24"/>
              </w:rPr>
            </w:pPr>
          </w:p>
        </w:tc>
      </w:tr>
      <w:tr w14:paraId="05512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819" w:type="dxa"/>
            <w:noWrap w:val="0"/>
            <w:vAlign w:val="top"/>
          </w:tcPr>
          <w:p w14:paraId="0AC170CF">
            <w:pPr>
              <w:spacing w:before="156" w:beforeLines="50" w:after="156" w:afterLines="50"/>
              <w:rPr>
                <w:rFonts w:hint="default" w:ascii="Times New Roman" w:hAnsi="Times New Roman" w:cs="Times New Roman"/>
                <w:sz w:val="24"/>
                <w:szCs w:val="24"/>
              </w:rPr>
            </w:pPr>
            <w:r>
              <w:rPr>
                <w:rFonts w:hint="default" w:ascii="Times New Roman" w:hAnsi="Times New Roman" w:cs="Times New Roman"/>
                <w:sz w:val="24"/>
                <w:szCs w:val="24"/>
              </w:rPr>
              <w:t>3</w:t>
            </w:r>
          </w:p>
        </w:tc>
        <w:tc>
          <w:tcPr>
            <w:tcW w:w="1278" w:type="dxa"/>
            <w:noWrap w:val="0"/>
            <w:vAlign w:val="top"/>
          </w:tcPr>
          <w:p w14:paraId="414AF2AC">
            <w:pPr>
              <w:spacing w:before="156" w:beforeLines="50" w:after="156" w:afterLines="50"/>
              <w:rPr>
                <w:rFonts w:hint="default" w:ascii="Times New Roman" w:hAnsi="Times New Roman" w:cs="Times New Roman"/>
                <w:sz w:val="24"/>
                <w:szCs w:val="24"/>
              </w:rPr>
            </w:pPr>
            <w:r>
              <w:rPr>
                <w:rFonts w:hint="default" w:ascii="Times New Roman" w:hAnsi="Times New Roman" w:cs="Times New Roman"/>
                <w:sz w:val="24"/>
                <w:szCs w:val="24"/>
              </w:rPr>
              <w:t>论文</w:t>
            </w:r>
          </w:p>
        </w:tc>
        <w:tc>
          <w:tcPr>
            <w:tcW w:w="1378" w:type="dxa"/>
            <w:noWrap w:val="0"/>
            <w:vAlign w:val="top"/>
          </w:tcPr>
          <w:p w14:paraId="03DDDF67">
            <w:pPr>
              <w:spacing w:before="156" w:beforeLines="50" w:after="156" w:afterLines="50"/>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rPr>
              <w:t>周莹莹/</w:t>
            </w:r>
            <w:r>
              <w:rPr>
                <w:rFonts w:hint="default" w:ascii="Times New Roman" w:hAnsi="Times New Roman" w:cs="Times New Roman"/>
                <w:sz w:val="24"/>
                <w:szCs w:val="24"/>
                <w:lang w:val="en-US" w:eastAsia="zh-CN"/>
              </w:rPr>
              <w:t>4</w:t>
            </w:r>
          </w:p>
        </w:tc>
        <w:tc>
          <w:tcPr>
            <w:tcW w:w="1083" w:type="dxa"/>
            <w:noWrap w:val="0"/>
            <w:vAlign w:val="top"/>
          </w:tcPr>
          <w:p w14:paraId="0BBF75A9">
            <w:pPr>
              <w:spacing w:before="156" w:beforeLines="50" w:after="156" w:afterLines="50"/>
              <w:rPr>
                <w:rFonts w:hint="default" w:ascii="Times New Roman" w:hAnsi="Times New Roman" w:cs="Times New Roman"/>
                <w:sz w:val="24"/>
                <w:szCs w:val="24"/>
              </w:rPr>
            </w:pPr>
            <w:r>
              <w:rPr>
                <w:rFonts w:hint="default" w:ascii="Times New Roman" w:hAnsi="Times New Roman" w:cs="Times New Roman"/>
                <w:sz w:val="24"/>
                <w:szCs w:val="24"/>
              </w:rPr>
              <w:t>2019-202</w:t>
            </w:r>
            <w:r>
              <w:rPr>
                <w:rFonts w:hint="default" w:ascii="Times New Roman" w:hAnsi="Times New Roman" w:cs="Times New Roman"/>
                <w:sz w:val="24"/>
                <w:szCs w:val="24"/>
                <w:lang w:val="en-US" w:eastAsia="zh-CN"/>
              </w:rPr>
              <w:t>4</w:t>
            </w:r>
          </w:p>
        </w:tc>
        <w:tc>
          <w:tcPr>
            <w:tcW w:w="1817" w:type="dxa"/>
            <w:noWrap w:val="0"/>
            <w:vAlign w:val="top"/>
          </w:tcPr>
          <w:p w14:paraId="0CAD0F04">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宋体" w:cs="Times New Roman"/>
                <w:sz w:val="20"/>
                <w:szCs w:val="20"/>
                <w:lang w:eastAsia="zh-CN"/>
              </w:rPr>
            </w:pPr>
            <w:r>
              <w:rPr>
                <w:rFonts w:hint="default" w:ascii="Times New Roman" w:hAnsi="Times New Roman" w:cs="Times New Roman"/>
                <w:sz w:val="16"/>
                <w:szCs w:val="21"/>
                <w:lang w:val="en-US" w:eastAsia="zh-CN"/>
              </w:rPr>
              <w:t xml:space="preserve">[1] </w:t>
            </w:r>
            <w:r>
              <w:rPr>
                <w:rFonts w:hint="default" w:ascii="Times New Roman" w:hAnsi="Times New Roman" w:cs="Times New Roman"/>
                <w:sz w:val="16"/>
                <w:szCs w:val="21"/>
              </w:rPr>
              <w:t>Effects of ultrasound on Microcystis aeruginosa cell destruction and release of intracellular organic matter</w:t>
            </w:r>
            <w:r>
              <w:rPr>
                <w:rFonts w:hint="default" w:ascii="Times New Roman" w:hAnsi="Times New Roman" w:cs="Times New Roman"/>
                <w:sz w:val="16"/>
                <w:szCs w:val="21"/>
                <w:lang w:eastAsia="zh-CN"/>
              </w:rPr>
              <w:t>；</w:t>
            </w:r>
            <w:r>
              <w:rPr>
                <w:rFonts w:hint="default" w:ascii="Times New Roman" w:hAnsi="Times New Roman" w:cs="Times New Roman"/>
                <w:sz w:val="16"/>
                <w:szCs w:val="21"/>
                <w:lang w:val="en-US" w:eastAsia="zh-CN"/>
              </w:rPr>
              <w:t xml:space="preserve">[2] </w:t>
            </w:r>
            <w:r>
              <w:rPr>
                <w:rFonts w:hint="default" w:ascii="Times New Roman" w:hAnsi="Times New Roman" w:cs="Times New Roman"/>
                <w:sz w:val="16"/>
                <w:szCs w:val="21"/>
              </w:rPr>
              <w:t xml:space="preserve">Inactivation of harmful Anabaena flos-aquae by ultrasound irradiation: Cell disruption mechanism and enhanced coagulation </w:t>
            </w:r>
          </w:p>
        </w:tc>
        <w:tc>
          <w:tcPr>
            <w:tcW w:w="1261" w:type="dxa"/>
            <w:noWrap w:val="0"/>
            <w:vAlign w:val="top"/>
          </w:tcPr>
          <w:p w14:paraId="36B8F87B">
            <w:pPr>
              <w:adjustRightInd w:val="0"/>
              <w:snapToGrid w:val="0"/>
              <w:rPr>
                <w:rFonts w:hint="default" w:ascii="Times New Roman" w:hAnsi="Times New Roman" w:cs="Times New Roman"/>
                <w:sz w:val="24"/>
                <w:szCs w:val="24"/>
              </w:rPr>
            </w:pPr>
            <w:r>
              <w:rPr>
                <w:rFonts w:hint="default" w:ascii="Times New Roman" w:hAnsi="Times New Roman" w:cs="Times New Roman"/>
                <w:sz w:val="24"/>
                <w:szCs w:val="24"/>
              </w:rPr>
              <w:t>附件1-1</w:t>
            </w:r>
          </w:p>
          <w:p w14:paraId="1E48C03B">
            <w:pPr>
              <w:adjustRightInd w:val="0"/>
              <w:snapToGrid w:val="0"/>
              <w:rPr>
                <w:rFonts w:hint="default" w:ascii="Times New Roman" w:hAnsi="Times New Roman" w:cs="Times New Roman"/>
                <w:sz w:val="24"/>
                <w:szCs w:val="24"/>
              </w:rPr>
            </w:pPr>
            <w:r>
              <w:rPr>
                <w:rFonts w:hint="default" w:ascii="Times New Roman" w:hAnsi="Times New Roman" w:cs="Times New Roman"/>
                <w:sz w:val="24"/>
                <w:szCs w:val="24"/>
              </w:rPr>
              <w:t>附件1-2</w:t>
            </w:r>
          </w:p>
        </w:tc>
        <w:tc>
          <w:tcPr>
            <w:tcW w:w="1064" w:type="dxa"/>
            <w:noWrap w:val="0"/>
            <w:vAlign w:val="top"/>
          </w:tcPr>
          <w:p w14:paraId="629793DC">
            <w:pPr>
              <w:spacing w:before="156" w:beforeLines="50" w:after="156" w:afterLines="50"/>
              <w:rPr>
                <w:rFonts w:hint="default" w:ascii="Times New Roman" w:hAnsi="Times New Roman" w:cs="Times New Roman"/>
                <w:sz w:val="24"/>
                <w:szCs w:val="24"/>
              </w:rPr>
            </w:pPr>
          </w:p>
        </w:tc>
      </w:tr>
      <w:tr w14:paraId="356F9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819" w:type="dxa"/>
            <w:noWrap w:val="0"/>
            <w:vAlign w:val="top"/>
          </w:tcPr>
          <w:p w14:paraId="2BF33E38">
            <w:pPr>
              <w:spacing w:before="156" w:beforeLines="50" w:after="156" w:afterLines="50"/>
              <w:rPr>
                <w:rFonts w:hint="default" w:ascii="Times New Roman" w:hAnsi="Times New Roman" w:cs="Times New Roman"/>
                <w:sz w:val="24"/>
                <w:szCs w:val="24"/>
              </w:rPr>
            </w:pPr>
            <w:r>
              <w:rPr>
                <w:rFonts w:hint="default" w:ascii="Times New Roman" w:hAnsi="Times New Roman" w:cs="Times New Roman"/>
                <w:sz w:val="24"/>
                <w:szCs w:val="24"/>
              </w:rPr>
              <w:t>4</w:t>
            </w:r>
          </w:p>
        </w:tc>
        <w:tc>
          <w:tcPr>
            <w:tcW w:w="1278" w:type="dxa"/>
            <w:noWrap w:val="0"/>
            <w:vAlign w:val="top"/>
          </w:tcPr>
          <w:p w14:paraId="3EE68729">
            <w:pPr>
              <w:spacing w:before="156" w:beforeLines="50" w:after="156" w:afterLines="50"/>
              <w:rPr>
                <w:rFonts w:hint="default" w:ascii="Times New Roman" w:hAnsi="Times New Roman" w:cs="Times New Roman"/>
                <w:sz w:val="24"/>
                <w:szCs w:val="24"/>
              </w:rPr>
            </w:pPr>
            <w:r>
              <w:rPr>
                <w:rFonts w:hint="default" w:ascii="Times New Roman" w:hAnsi="Times New Roman" w:cs="Times New Roman"/>
                <w:sz w:val="24"/>
                <w:szCs w:val="24"/>
              </w:rPr>
              <w:t>论文</w:t>
            </w:r>
          </w:p>
        </w:tc>
        <w:tc>
          <w:tcPr>
            <w:tcW w:w="1378" w:type="dxa"/>
            <w:noWrap w:val="0"/>
            <w:vAlign w:val="top"/>
          </w:tcPr>
          <w:p w14:paraId="05A62717">
            <w:pPr>
              <w:spacing w:before="156" w:beforeLines="50" w:after="156" w:afterLines="50"/>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朱国成/5</w:t>
            </w:r>
          </w:p>
        </w:tc>
        <w:tc>
          <w:tcPr>
            <w:tcW w:w="1083" w:type="dxa"/>
            <w:noWrap w:val="0"/>
            <w:vAlign w:val="top"/>
          </w:tcPr>
          <w:p w14:paraId="16E7D019">
            <w:pPr>
              <w:spacing w:before="156" w:beforeLines="50" w:after="156" w:afterLines="50"/>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2020-2024</w:t>
            </w:r>
          </w:p>
        </w:tc>
        <w:tc>
          <w:tcPr>
            <w:tcW w:w="1817" w:type="dxa"/>
            <w:noWrap w:val="0"/>
            <w:vAlign w:val="top"/>
          </w:tcPr>
          <w:p w14:paraId="5C55A174">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sz w:val="20"/>
                <w:szCs w:val="20"/>
              </w:rPr>
            </w:pPr>
            <w:r>
              <w:rPr>
                <w:rFonts w:hint="default" w:ascii="Times New Roman" w:hAnsi="Times New Roman" w:cs="Times New Roman"/>
                <w:sz w:val="16"/>
                <w:szCs w:val="21"/>
                <w:lang w:val="en-US" w:eastAsia="zh-CN"/>
              </w:rPr>
              <w:t xml:space="preserve">[1] </w:t>
            </w:r>
            <w:r>
              <w:rPr>
                <w:rFonts w:hint="default" w:ascii="Times New Roman" w:hAnsi="Times New Roman" w:cs="Times New Roman"/>
                <w:sz w:val="16"/>
                <w:szCs w:val="21"/>
              </w:rPr>
              <w:t>Biological activity and molecular mechanism of inactivation of Microcystis aeruginosa by ultrasound irradiation</w:t>
            </w:r>
          </w:p>
        </w:tc>
        <w:tc>
          <w:tcPr>
            <w:tcW w:w="1261" w:type="dxa"/>
            <w:noWrap w:val="0"/>
            <w:vAlign w:val="top"/>
          </w:tcPr>
          <w:p w14:paraId="4864A0BB">
            <w:pPr>
              <w:adjustRightInd w:val="0"/>
              <w:snapToGrid w:val="0"/>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rPr>
              <w:t>附件1-</w:t>
            </w:r>
            <w:r>
              <w:rPr>
                <w:rFonts w:hint="default" w:ascii="Times New Roman" w:hAnsi="Times New Roman" w:cs="Times New Roman"/>
                <w:sz w:val="24"/>
                <w:szCs w:val="24"/>
                <w:lang w:val="en-US" w:eastAsia="zh-CN"/>
              </w:rPr>
              <w:t>4</w:t>
            </w:r>
          </w:p>
        </w:tc>
        <w:tc>
          <w:tcPr>
            <w:tcW w:w="1064" w:type="dxa"/>
            <w:noWrap w:val="0"/>
            <w:vAlign w:val="top"/>
          </w:tcPr>
          <w:p w14:paraId="081BC60D">
            <w:pPr>
              <w:spacing w:before="156" w:beforeLines="50" w:after="156" w:afterLines="50"/>
              <w:rPr>
                <w:rFonts w:hint="default" w:ascii="Times New Roman" w:hAnsi="Times New Roman" w:cs="Times New Roman"/>
                <w:sz w:val="24"/>
                <w:szCs w:val="24"/>
              </w:rPr>
            </w:pPr>
          </w:p>
        </w:tc>
      </w:tr>
      <w:tr w14:paraId="4CA29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819" w:type="dxa"/>
            <w:noWrap w:val="0"/>
            <w:vAlign w:val="top"/>
          </w:tcPr>
          <w:p w14:paraId="5FA32034">
            <w:pPr>
              <w:spacing w:before="156" w:beforeLines="50" w:after="156" w:afterLines="50"/>
              <w:rPr>
                <w:rFonts w:hint="default" w:ascii="Times New Roman" w:hAnsi="Times New Roman" w:cs="Times New Roman"/>
                <w:sz w:val="24"/>
                <w:szCs w:val="24"/>
              </w:rPr>
            </w:pPr>
            <w:r>
              <w:rPr>
                <w:rFonts w:hint="default" w:ascii="Times New Roman" w:hAnsi="Times New Roman" w:cs="Times New Roman"/>
                <w:sz w:val="24"/>
                <w:szCs w:val="24"/>
              </w:rPr>
              <w:t>5</w:t>
            </w:r>
          </w:p>
        </w:tc>
        <w:tc>
          <w:tcPr>
            <w:tcW w:w="1278" w:type="dxa"/>
            <w:noWrap w:val="0"/>
            <w:vAlign w:val="top"/>
          </w:tcPr>
          <w:p w14:paraId="41A74A92">
            <w:pPr>
              <w:spacing w:before="156" w:beforeLines="50" w:after="156" w:afterLines="50"/>
              <w:rPr>
                <w:rFonts w:hint="default" w:ascii="Times New Roman" w:hAnsi="Times New Roman" w:cs="Times New Roman"/>
                <w:sz w:val="24"/>
                <w:szCs w:val="24"/>
              </w:rPr>
            </w:pPr>
            <w:r>
              <w:rPr>
                <w:rFonts w:hint="default" w:ascii="Times New Roman" w:hAnsi="Times New Roman" w:cs="Times New Roman"/>
                <w:sz w:val="24"/>
                <w:szCs w:val="24"/>
              </w:rPr>
              <w:t>论文</w:t>
            </w:r>
          </w:p>
        </w:tc>
        <w:tc>
          <w:tcPr>
            <w:tcW w:w="1378" w:type="dxa"/>
            <w:noWrap w:val="0"/>
            <w:vAlign w:val="top"/>
          </w:tcPr>
          <w:p w14:paraId="212C45F9">
            <w:pPr>
              <w:spacing w:before="156" w:beforeLines="50" w:after="156" w:afterLines="50"/>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杨秀贞/6</w:t>
            </w:r>
          </w:p>
        </w:tc>
        <w:tc>
          <w:tcPr>
            <w:tcW w:w="1083" w:type="dxa"/>
            <w:noWrap w:val="0"/>
            <w:vAlign w:val="top"/>
          </w:tcPr>
          <w:p w14:paraId="17E06EA3">
            <w:pPr>
              <w:spacing w:before="156" w:beforeLines="50" w:after="156" w:afterLines="50"/>
              <w:rPr>
                <w:rFonts w:hint="default" w:ascii="Times New Roman" w:hAnsi="Times New Roman" w:cs="Times New Roman"/>
                <w:sz w:val="24"/>
                <w:szCs w:val="24"/>
              </w:rPr>
            </w:pPr>
            <w:r>
              <w:rPr>
                <w:rFonts w:hint="default" w:ascii="Times New Roman" w:hAnsi="Times New Roman" w:cs="Times New Roman"/>
                <w:sz w:val="24"/>
                <w:szCs w:val="24"/>
                <w:lang w:val="en-US" w:eastAsia="zh-CN"/>
              </w:rPr>
              <w:t>2020-2024</w:t>
            </w:r>
          </w:p>
        </w:tc>
        <w:tc>
          <w:tcPr>
            <w:tcW w:w="1817" w:type="dxa"/>
            <w:noWrap w:val="0"/>
            <w:vAlign w:val="top"/>
          </w:tcPr>
          <w:p w14:paraId="3BB31348">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sz w:val="20"/>
                <w:szCs w:val="20"/>
              </w:rPr>
            </w:pPr>
            <w:r>
              <w:rPr>
                <w:rFonts w:hint="default" w:ascii="Times New Roman" w:hAnsi="Times New Roman" w:cs="Times New Roman"/>
                <w:sz w:val="16"/>
                <w:szCs w:val="21"/>
                <w:lang w:val="en-US" w:eastAsia="zh-CN"/>
              </w:rPr>
              <w:t xml:space="preserve">[1] </w:t>
            </w:r>
            <w:r>
              <w:rPr>
                <w:rFonts w:hint="default" w:ascii="Times New Roman" w:hAnsi="Times New Roman" w:cs="Times New Roman"/>
                <w:sz w:val="16"/>
                <w:szCs w:val="21"/>
              </w:rPr>
              <w:t xml:space="preserve">Biological activity and molecular mechanism </w:t>
            </w:r>
            <w:bookmarkStart w:id="7" w:name="_GoBack"/>
            <w:bookmarkEnd w:id="7"/>
            <w:r>
              <w:rPr>
                <w:rFonts w:hint="default" w:ascii="Times New Roman" w:hAnsi="Times New Roman" w:cs="Times New Roman"/>
                <w:sz w:val="16"/>
                <w:szCs w:val="21"/>
              </w:rPr>
              <w:t>of inactivation of Microcystis aeruginosa by ultrasound irradiation</w:t>
            </w:r>
          </w:p>
        </w:tc>
        <w:tc>
          <w:tcPr>
            <w:tcW w:w="1261" w:type="dxa"/>
            <w:noWrap w:val="0"/>
            <w:vAlign w:val="top"/>
          </w:tcPr>
          <w:p w14:paraId="06D0DB90">
            <w:pPr>
              <w:spacing w:before="156" w:beforeLines="50" w:after="156" w:afterLines="50"/>
              <w:rPr>
                <w:rFonts w:hint="default" w:ascii="Times New Roman" w:hAnsi="Times New Roman" w:cs="Times New Roman"/>
                <w:sz w:val="24"/>
                <w:szCs w:val="24"/>
              </w:rPr>
            </w:pPr>
            <w:r>
              <w:rPr>
                <w:rFonts w:hint="default" w:ascii="Times New Roman" w:hAnsi="Times New Roman" w:cs="Times New Roman"/>
                <w:sz w:val="24"/>
                <w:szCs w:val="24"/>
              </w:rPr>
              <w:t>附件1-</w:t>
            </w:r>
            <w:r>
              <w:rPr>
                <w:rFonts w:hint="default" w:ascii="Times New Roman" w:hAnsi="Times New Roman" w:cs="Times New Roman"/>
                <w:sz w:val="24"/>
                <w:szCs w:val="24"/>
                <w:lang w:val="en-US" w:eastAsia="zh-CN"/>
              </w:rPr>
              <w:t>4</w:t>
            </w:r>
          </w:p>
        </w:tc>
        <w:tc>
          <w:tcPr>
            <w:tcW w:w="1064" w:type="dxa"/>
            <w:noWrap w:val="0"/>
            <w:vAlign w:val="top"/>
          </w:tcPr>
          <w:p w14:paraId="41B9CCDF">
            <w:pPr>
              <w:spacing w:before="156" w:beforeLines="50" w:after="156" w:afterLines="50"/>
              <w:rPr>
                <w:rFonts w:hint="default" w:ascii="Times New Roman" w:hAnsi="Times New Roman" w:cs="Times New Roman"/>
                <w:sz w:val="24"/>
                <w:szCs w:val="24"/>
              </w:rPr>
            </w:pPr>
          </w:p>
        </w:tc>
      </w:tr>
      <w:bookmarkEnd w:id="2"/>
      <w:bookmarkEnd w:id="3"/>
      <w:bookmarkEnd w:id="4"/>
    </w:tbl>
    <w:p w14:paraId="657175E9">
      <w:pPr>
        <w:ind w:firstLine="482" w:firstLineChars="200"/>
        <w:rPr>
          <w:rFonts w:hint="eastAsia"/>
          <w:b/>
          <w:bCs/>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dobeSongStd-Light">
    <w:altName w:val="等线"/>
    <w:panose1 w:val="00000000000000000000"/>
    <w:charset w:val="86"/>
    <w:family w:val="auto"/>
    <w:pitch w:val="default"/>
    <w:sig w:usb0="00000000" w:usb1="00000000" w:usb2="0000000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842"/>
    <w:rsid w:val="001629AF"/>
    <w:rsid w:val="00220842"/>
    <w:rsid w:val="00457EAB"/>
    <w:rsid w:val="0053301C"/>
    <w:rsid w:val="007F4542"/>
    <w:rsid w:val="00826DCF"/>
    <w:rsid w:val="00903C91"/>
    <w:rsid w:val="00A35FD8"/>
    <w:rsid w:val="00A75842"/>
    <w:rsid w:val="00DC6256"/>
    <w:rsid w:val="00E71BBB"/>
    <w:rsid w:val="03F37677"/>
    <w:rsid w:val="05E7509A"/>
    <w:rsid w:val="062B6CCA"/>
    <w:rsid w:val="0B805ABF"/>
    <w:rsid w:val="12A97D33"/>
    <w:rsid w:val="174B3DD6"/>
    <w:rsid w:val="17724B61"/>
    <w:rsid w:val="221735B1"/>
    <w:rsid w:val="224059F2"/>
    <w:rsid w:val="227B508A"/>
    <w:rsid w:val="26964247"/>
    <w:rsid w:val="27143B54"/>
    <w:rsid w:val="28140533"/>
    <w:rsid w:val="29716577"/>
    <w:rsid w:val="3E712E92"/>
    <w:rsid w:val="3F2458B1"/>
    <w:rsid w:val="46FD4EEA"/>
    <w:rsid w:val="56B55ACB"/>
    <w:rsid w:val="5B3F5785"/>
    <w:rsid w:val="5D276575"/>
    <w:rsid w:val="5EDB7E6B"/>
    <w:rsid w:val="60607F1C"/>
    <w:rsid w:val="6A486BD3"/>
    <w:rsid w:val="70B054D2"/>
    <w:rsid w:val="71935B7C"/>
    <w:rsid w:val="7D962E0D"/>
    <w:rsid w:val="7EB76B9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w:basedOn w:val="1"/>
    <w:semiHidden/>
    <w:qFormat/>
    <w:uiPriority w:val="99"/>
    <w:pPr>
      <w:spacing w:after="120"/>
    </w:pPr>
  </w:style>
  <w:style w:type="paragraph" w:styleId="5">
    <w:name w:val="Plain Text"/>
    <w:basedOn w:val="1"/>
    <w:link w:val="13"/>
    <w:qFormat/>
    <w:uiPriority w:val="0"/>
    <w:pPr>
      <w:spacing w:line="360" w:lineRule="auto"/>
      <w:ind w:firstLine="480" w:firstLineChars="200"/>
    </w:pPr>
    <w:rPr>
      <w:rFonts w:ascii="仿宋_GB2312" w:hAnsi="Times New Roman" w:eastAsia="宋体" w:cs="Times New Roman"/>
      <w:sz w:val="24"/>
      <w:szCs w:val="20"/>
    </w:rPr>
  </w:style>
  <w:style w:type="paragraph" w:styleId="6">
    <w:name w:val="footer"/>
    <w:basedOn w:val="1"/>
    <w:link w:val="12"/>
    <w:qFormat/>
    <w:uiPriority w:val="0"/>
    <w:pPr>
      <w:tabs>
        <w:tab w:val="center" w:pos="4153"/>
        <w:tab w:val="right" w:pos="8306"/>
      </w:tabs>
      <w:snapToGrid w:val="0"/>
      <w:jc w:val="left"/>
    </w:pPr>
    <w:rPr>
      <w:sz w:val="18"/>
      <w:szCs w:val="18"/>
    </w:rPr>
  </w:style>
  <w:style w:type="paragraph" w:styleId="7">
    <w:name w:val="header"/>
    <w:basedOn w:val="1"/>
    <w:link w:val="11"/>
    <w:qFormat/>
    <w:uiPriority w:val="0"/>
    <w:pPr>
      <w:tabs>
        <w:tab w:val="center" w:pos="4153"/>
        <w:tab w:val="right" w:pos="8306"/>
      </w:tabs>
      <w:snapToGrid w:val="0"/>
      <w:jc w:val="center"/>
    </w:pPr>
    <w:rPr>
      <w:sz w:val="18"/>
      <w:szCs w:val="18"/>
    </w:rPr>
  </w:style>
  <w:style w:type="paragraph" w:styleId="8">
    <w:name w:val="Normal (Web)"/>
    <w:basedOn w:val="1"/>
    <w:uiPriority w:val="0"/>
    <w:pPr>
      <w:spacing w:before="0" w:beforeAutospacing="1" w:after="0" w:afterAutospacing="1"/>
      <w:ind w:left="0" w:right="0"/>
      <w:jc w:val="left"/>
    </w:pPr>
    <w:rPr>
      <w:kern w:val="0"/>
      <w:sz w:val="24"/>
      <w:lang w:val="en-US" w:eastAsia="zh-CN" w:bidi="ar"/>
    </w:rPr>
  </w:style>
  <w:style w:type="character" w:customStyle="1" w:styleId="11">
    <w:name w:val="页眉 字符"/>
    <w:basedOn w:val="10"/>
    <w:link w:val="7"/>
    <w:qFormat/>
    <w:uiPriority w:val="0"/>
    <w:rPr>
      <w:rFonts w:asciiTheme="minorHAnsi" w:hAnsiTheme="minorHAnsi" w:eastAsiaTheme="minorEastAsia" w:cstheme="minorBidi"/>
      <w:kern w:val="2"/>
      <w:sz w:val="18"/>
      <w:szCs w:val="18"/>
    </w:rPr>
  </w:style>
  <w:style w:type="character" w:customStyle="1" w:styleId="12">
    <w:name w:val="页脚 字符"/>
    <w:basedOn w:val="10"/>
    <w:link w:val="6"/>
    <w:qFormat/>
    <w:uiPriority w:val="0"/>
    <w:rPr>
      <w:rFonts w:asciiTheme="minorHAnsi" w:hAnsiTheme="minorHAnsi" w:eastAsiaTheme="minorEastAsia" w:cstheme="minorBidi"/>
      <w:kern w:val="2"/>
      <w:sz w:val="18"/>
      <w:szCs w:val="18"/>
    </w:rPr>
  </w:style>
  <w:style w:type="character" w:customStyle="1" w:styleId="13">
    <w:name w:val="纯文本 字符"/>
    <w:basedOn w:val="10"/>
    <w:link w:val="5"/>
    <w:qFormat/>
    <w:uiPriority w:val="0"/>
    <w:rPr>
      <w:rFonts w:ascii="仿宋_GB2312"/>
      <w:kern w:val="2"/>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2493</Words>
  <Characters>4403</Characters>
  <Lines>14</Lines>
  <Paragraphs>4</Paragraphs>
  <TotalTime>1</TotalTime>
  <ScaleCrop>false</ScaleCrop>
  <LinksUpToDate>false</LinksUpToDate>
  <CharactersWithSpaces>4716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2026-02-03T17:52:00Z</dcterms:created>
  <dc:creator>11508</dc:creator>
  <cp:lastModifiedBy>彭亚洲</cp:lastModifiedBy>
  <dcterms:modified xsi:type="dcterms:W3CDTF">2026-10-09T12:08:43Z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C799FBE2B1634ADB95BA0EA2345B7A00_12</vt:lpwstr>
  </property>
  <property fmtid="{D5CDD505-2E9C-101B-9397-08002B2CF9AE}" pid="4" name="KSOTemplateDocerSaveRecord">
    <vt:lpwstr>eyJoZGlkIjoiZTAyNTVjNDkyNmUzMDEzYzY4N2FhMjBmNDNmYTQ0ZTQiLCJ1c2VySWQiOiIxNjEzODMyMDI1In0=</vt:lpwstr>
  </property>
</Properties>
</file>