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DF3D6">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候选项目情况</w:t>
      </w:r>
    </w:p>
    <w:p w14:paraId="70795B49">
      <w:pPr>
        <w:adjustRightInd w:val="0"/>
        <w:snapToGrid w:val="0"/>
        <w:spacing w:line="460" w:lineRule="exact"/>
        <w:rPr>
          <w:b/>
          <w:bCs/>
          <w:sz w:val="24"/>
          <w:szCs w:val="24"/>
        </w:rPr>
      </w:pPr>
      <w:r>
        <w:rPr>
          <w:rFonts w:hint="eastAsia" w:asciiTheme="majorEastAsia" w:hAnsiTheme="majorEastAsia" w:eastAsiaTheme="majorEastAsia" w:cstheme="majorEastAsia"/>
          <w:b/>
          <w:sz w:val="28"/>
          <w:szCs w:val="28"/>
        </w:rPr>
        <w:t>公示材料</w:t>
      </w:r>
      <w:r>
        <w:rPr>
          <w:rFonts w:hint="eastAsia" w:asciiTheme="majorEastAsia" w:hAnsiTheme="majorEastAsia" w:eastAsiaTheme="majorEastAsia" w:cstheme="majorEastAsia"/>
          <w:b/>
          <w:sz w:val="28"/>
          <w:szCs w:val="28"/>
          <w:lang w:val="en-US" w:eastAsia="zh-CN"/>
        </w:rPr>
        <w:t>1</w:t>
      </w:r>
      <w:r>
        <w:rPr>
          <w:rFonts w:hint="eastAsia" w:asciiTheme="majorEastAsia" w:hAnsiTheme="majorEastAsia" w:eastAsiaTheme="majorEastAsia" w:cstheme="majorEastAsia"/>
          <w:b/>
          <w:kern w:val="0"/>
          <w:sz w:val="28"/>
          <w:szCs w:val="28"/>
        </w:rPr>
        <w:t>：</w:t>
      </w:r>
    </w:p>
    <w:p w14:paraId="1CE65CD5">
      <w:pPr>
        <w:rPr>
          <w:rFonts w:ascii="仿宋" w:hAnsi="仿宋" w:eastAsia="仿宋" w:cs="仿宋"/>
          <w:sz w:val="24"/>
          <w:szCs w:val="24"/>
        </w:rPr>
      </w:pPr>
      <w:r>
        <w:rPr>
          <w:rFonts w:hint="eastAsia" w:ascii="仿宋" w:hAnsi="仿宋" w:eastAsia="仿宋" w:cs="仿宋"/>
          <w:b/>
          <w:bCs/>
          <w:sz w:val="24"/>
          <w:szCs w:val="24"/>
        </w:rPr>
        <w:t>项目名称：</w:t>
      </w:r>
      <w:r>
        <w:rPr>
          <w:rFonts w:hint="eastAsia" w:ascii="仿宋" w:hAnsi="仿宋" w:eastAsia="仿宋" w:cs="仿宋"/>
          <w:sz w:val="24"/>
          <w:szCs w:val="24"/>
        </w:rPr>
        <w:t>表界面微结构调控与室温光热催化去除持久性污染物的新材料技术及应用</w:t>
      </w:r>
    </w:p>
    <w:p w14:paraId="4D239250">
      <w:pPr>
        <w:rPr>
          <w:rFonts w:ascii="仿宋" w:hAnsi="仿宋" w:eastAsia="仿宋" w:cs="仿宋"/>
          <w:sz w:val="24"/>
          <w:szCs w:val="24"/>
        </w:rPr>
      </w:pPr>
      <w:r>
        <w:rPr>
          <w:rFonts w:hint="eastAsia" w:ascii="仿宋" w:hAnsi="仿宋" w:eastAsia="仿宋" w:cs="仿宋"/>
          <w:b/>
          <w:bCs/>
          <w:sz w:val="24"/>
          <w:szCs w:val="24"/>
        </w:rPr>
        <w:t>主要完成人：</w:t>
      </w:r>
      <w:r>
        <w:rPr>
          <w:rFonts w:hint="eastAsia" w:ascii="仿宋" w:hAnsi="仿宋" w:eastAsia="仿宋" w:cs="仿宋"/>
          <w:sz w:val="24"/>
          <w:szCs w:val="24"/>
        </w:rPr>
        <w:t>李喜宝，谢宇，周英</w:t>
      </w:r>
      <w:r>
        <w:rPr>
          <w:rFonts w:ascii="仿宋" w:hAnsi="仿宋" w:eastAsia="仿宋" w:cs="仿宋"/>
          <w:sz w:val="24"/>
          <w:szCs w:val="24"/>
        </w:rPr>
        <w:t>棠</w:t>
      </w:r>
      <w:r>
        <w:rPr>
          <w:rFonts w:hint="eastAsia" w:ascii="仿宋" w:hAnsi="仿宋" w:eastAsia="仿宋" w:cs="仿宋"/>
          <w:sz w:val="24"/>
          <w:szCs w:val="24"/>
        </w:rPr>
        <w:t>，郑允</w:t>
      </w:r>
      <w:r>
        <w:rPr>
          <w:rFonts w:ascii="仿宋" w:hAnsi="仿宋" w:eastAsia="仿宋" w:cs="仿宋"/>
          <w:sz w:val="24"/>
          <w:szCs w:val="24"/>
        </w:rPr>
        <w:t>星</w:t>
      </w:r>
      <w:r>
        <w:rPr>
          <w:rFonts w:hint="eastAsia" w:ascii="仿宋" w:hAnsi="仿宋" w:eastAsia="仿宋" w:cs="仿宋"/>
          <w:sz w:val="24"/>
          <w:szCs w:val="24"/>
        </w:rPr>
        <w:t>，邓</w:t>
      </w:r>
      <w:r>
        <w:rPr>
          <w:rFonts w:ascii="仿宋" w:hAnsi="仿宋" w:eastAsia="仿宋" w:cs="仿宋"/>
          <w:sz w:val="24"/>
          <w:szCs w:val="24"/>
        </w:rPr>
        <w:t>芳</w:t>
      </w:r>
      <w:r>
        <w:rPr>
          <w:rFonts w:hint="eastAsia" w:ascii="仿宋" w:hAnsi="仿宋" w:eastAsia="仿宋" w:cs="仿宋"/>
          <w:sz w:val="24"/>
          <w:szCs w:val="24"/>
        </w:rPr>
        <w:t>，黄军同</w:t>
      </w:r>
    </w:p>
    <w:p w14:paraId="5B9198CB">
      <w:pPr>
        <w:rPr>
          <w:rFonts w:ascii="仿宋" w:hAnsi="仿宋" w:eastAsia="仿宋" w:cs="仿宋"/>
          <w:sz w:val="24"/>
          <w:szCs w:val="24"/>
        </w:rPr>
      </w:pPr>
      <w:r>
        <w:rPr>
          <w:rFonts w:hint="eastAsia" w:ascii="仿宋" w:hAnsi="仿宋" w:eastAsia="仿宋" w:cs="仿宋"/>
          <w:b/>
          <w:bCs/>
          <w:sz w:val="24"/>
          <w:szCs w:val="24"/>
        </w:rPr>
        <w:t>完成单位：</w:t>
      </w:r>
      <w:r>
        <w:rPr>
          <w:rFonts w:hint="eastAsia" w:ascii="仿宋" w:hAnsi="仿宋" w:eastAsia="仿宋" w:cs="仿宋"/>
          <w:sz w:val="24"/>
          <w:szCs w:val="24"/>
        </w:rPr>
        <w:t>南昌航空大学，浙江海洋</w:t>
      </w:r>
      <w:r>
        <w:rPr>
          <w:rFonts w:ascii="仿宋" w:hAnsi="仿宋" w:eastAsia="仿宋" w:cs="仿宋"/>
          <w:sz w:val="24"/>
          <w:szCs w:val="24"/>
        </w:rPr>
        <w:t>大学</w:t>
      </w:r>
      <w:r>
        <w:rPr>
          <w:rFonts w:hint="eastAsia" w:ascii="仿宋" w:hAnsi="仿宋" w:eastAsia="仿宋" w:cs="仿宋"/>
          <w:sz w:val="24"/>
          <w:szCs w:val="24"/>
        </w:rPr>
        <w:t>，铜陵博雅镀业新材料科技有限公司</w:t>
      </w:r>
    </w:p>
    <w:p w14:paraId="1699EE36">
      <w:pPr>
        <w:rPr>
          <w:rFonts w:ascii="仿宋" w:hAnsi="仿宋" w:eastAsia="仿宋" w:cs="仿宋"/>
          <w:b/>
          <w:bCs/>
          <w:sz w:val="24"/>
          <w:szCs w:val="24"/>
        </w:rPr>
      </w:pPr>
      <w:r>
        <w:rPr>
          <w:rFonts w:hint="eastAsia" w:ascii="仿宋" w:hAnsi="仿宋" w:eastAsia="仿宋" w:cs="仿宋"/>
          <w:b/>
          <w:bCs/>
          <w:sz w:val="24"/>
          <w:szCs w:val="24"/>
        </w:rPr>
        <w:t>项目简介：</w:t>
      </w:r>
    </w:p>
    <w:p w14:paraId="246F3366">
      <w:pPr>
        <w:ind w:firstLine="480" w:firstLineChars="200"/>
        <w:rPr>
          <w:rFonts w:ascii="仿宋" w:hAnsi="仿宋" w:eastAsia="仿宋" w:cs="仿宋"/>
          <w:sz w:val="24"/>
          <w:szCs w:val="24"/>
        </w:rPr>
      </w:pPr>
      <w:r>
        <w:rPr>
          <w:rFonts w:hint="eastAsia" w:ascii="仿宋" w:hAnsi="仿宋" w:eastAsia="仿宋" w:cs="仿宋"/>
          <w:sz w:val="24"/>
          <w:szCs w:val="24"/>
        </w:rPr>
        <w:t>空气和水质安全对于人类生命健康及可持续发展意义重大。针对常规结构光催化剂难以克服有机污染物降解活性低、使用性能差等问题，本项目以低成本的锰系氧化物、过渡金属粉末和工业级碱式碳酸锌等大宗工业矿物为主要原料，通过改性加工、协同耦合以实现高附加值转型，形成低值产品向高端高附加值产品的升级。以光/热催化剂的微结构设计与构建、界面功能增效及降解途径调控为突破点，开展了催化剂表界面微结构的构筑方法及其性能调控研究。通过创新复合型光催化剂的表界面微结构及室温光热自氧化滤芯加工工艺与技术，研制出高附加值活性锰室温光热自氧化及富电子微界面型异质结复合催化剂等新型催化材料，在以下三个方面取得了系列研究成果和发明创新。</w:t>
      </w:r>
    </w:p>
    <w:p w14:paraId="50DF721A">
      <w:pPr>
        <w:ind w:firstLine="480" w:firstLineChars="200"/>
        <w:rPr>
          <w:rFonts w:ascii="仿宋" w:hAnsi="仿宋" w:eastAsia="仿宋" w:cs="仿宋"/>
          <w:sz w:val="24"/>
          <w:szCs w:val="24"/>
        </w:rPr>
      </w:pPr>
      <w:r>
        <w:rPr>
          <w:rFonts w:hint="eastAsia" w:ascii="仿宋" w:hAnsi="仿宋" w:eastAsia="仿宋" w:cs="仿宋"/>
          <w:sz w:val="24"/>
          <w:szCs w:val="24"/>
        </w:rPr>
        <w:t>1、异质结光催化材料降解缺电子污染物废水的应用基础研究。针对光催化降解污染物过程中污染物难以高效安全消减的关键问题，系统研究了富电子型异质结光催化材料特定微观结构的构筑方法，建立了表界面微观结构与催化剂电子特性、表面化学性质和对有机污染物降解活性之间的内在关联，在微结构调控、光催化材料功能增效以及污染物界面转化方面取得了创新性成果。提出了利用高分散超细金属纳米粒子构建富电子催化微界面的方法，阐明了抗生素等在富电子催化界面上活化和降解转化规律，实现了原位产双氧水及毒性基团的高效降解和毒性削减。</w:t>
      </w:r>
    </w:p>
    <w:p w14:paraId="34E715B0">
      <w:pPr>
        <w:ind w:firstLine="480" w:firstLineChars="200"/>
        <w:rPr>
          <w:rFonts w:ascii="仿宋" w:hAnsi="仿宋" w:eastAsia="仿宋" w:cs="仿宋"/>
          <w:sz w:val="24"/>
          <w:szCs w:val="24"/>
        </w:rPr>
      </w:pPr>
      <w:r>
        <w:rPr>
          <w:rFonts w:hint="eastAsia" w:ascii="仿宋" w:hAnsi="仿宋" w:eastAsia="仿宋" w:cs="仿宋"/>
          <w:sz w:val="24"/>
          <w:szCs w:val="24"/>
        </w:rPr>
        <w:t>2、实际污水和空气净化高效处理工程示范及产业化研究。通过研究低成本ZnO纳米管与第二金属氧化物的协同效应、表面性质及结构与性能的关系，探究了不同含量配比TiO</w:t>
      </w:r>
      <w:r>
        <w:rPr>
          <w:rFonts w:hint="eastAsia" w:ascii="仿宋" w:hAnsi="仿宋" w:eastAsia="仿宋" w:cs="仿宋"/>
          <w:sz w:val="24"/>
          <w:szCs w:val="24"/>
          <w:vertAlign w:val="subscript"/>
        </w:rPr>
        <w:t>2</w:t>
      </w:r>
      <w:r>
        <w:rPr>
          <w:rFonts w:ascii="仿宋" w:hAnsi="仿宋" w:eastAsia="仿宋" w:cs="仿宋"/>
          <w:sz w:val="24"/>
          <w:szCs w:val="24"/>
        </w:rPr>
        <w:t>(CeO</w:t>
      </w:r>
      <w:r>
        <w:rPr>
          <w:rFonts w:ascii="仿宋" w:hAnsi="仿宋" w:eastAsia="仿宋" w:cs="仿宋"/>
          <w:sz w:val="24"/>
          <w:szCs w:val="24"/>
          <w:vertAlign w:val="subscript"/>
        </w:rPr>
        <w:t>2</w:t>
      </w:r>
      <w:r>
        <w:rPr>
          <w:rFonts w:ascii="仿宋" w:hAnsi="仿宋" w:eastAsia="仿宋" w:cs="仿宋"/>
          <w:sz w:val="24"/>
          <w:szCs w:val="24"/>
        </w:rPr>
        <w:t>)</w:t>
      </w:r>
      <w:r>
        <w:rPr>
          <w:rFonts w:hint="eastAsia" w:ascii="仿宋" w:hAnsi="仿宋" w:eastAsia="仿宋" w:cs="仿宋"/>
          <w:sz w:val="24"/>
          <w:szCs w:val="24"/>
        </w:rPr>
        <w:t>改性ZnO纳米管，探索其失活行为及再生性，提高光降解污水反应及催化性能。采用光热界面下多参数对废水中重金属离子捕获和持久性有机污染物去除的影响，揭示了不同结构水凝胶材料的宏观吸附特性及规律，并针对不同类型的废水环境，创建了制备吸附分离材料的绿色、高效、经济的新方法，创新性地构筑了水凝胶复合物，用于高效捕获废水中的重金属离子和去除持久性有机污染物。</w:t>
      </w:r>
    </w:p>
    <w:p w14:paraId="6A58AB8F">
      <w:pPr>
        <w:ind w:firstLine="480" w:firstLineChars="200"/>
        <w:rPr>
          <w:rFonts w:ascii="仿宋" w:hAnsi="仿宋" w:eastAsia="仿宋" w:cs="仿宋"/>
          <w:sz w:val="24"/>
          <w:szCs w:val="24"/>
        </w:rPr>
      </w:pPr>
      <w:r>
        <w:rPr>
          <w:rFonts w:hint="eastAsia" w:ascii="仿宋" w:hAnsi="仿宋" w:eastAsia="仿宋" w:cs="仿宋"/>
          <w:sz w:val="24"/>
          <w:szCs w:val="24"/>
        </w:rPr>
        <w:t>3、研制出的新型活性锰蜂窝铝复合滤芯材料，在无需紫外线的情况下，快速精准地将甲醛、TVOC和苯系物等大部分异味气体分子催化氧化分解为CO</w:t>
      </w:r>
      <w:r>
        <w:rPr>
          <w:rFonts w:hint="eastAsia" w:ascii="仿宋" w:hAnsi="仿宋" w:eastAsia="仿宋" w:cs="仿宋"/>
          <w:sz w:val="24"/>
          <w:szCs w:val="24"/>
          <w:vertAlign w:val="subscript"/>
        </w:rPr>
        <w:t>2</w:t>
      </w:r>
      <w:r>
        <w:rPr>
          <w:rFonts w:hint="eastAsia" w:ascii="仿宋" w:hAnsi="仿宋" w:eastAsia="仿宋" w:cs="仿宋"/>
          <w:sz w:val="24"/>
          <w:szCs w:val="24"/>
        </w:rPr>
        <w:t>和水，达到净化空气的目的，空气净化水平均优于国家室内空气污染物控制标准。该系列研究成果获授权专利10余项，形成一条拥有自主知识产权的缺电子污染物减污降碳处理系统示范工程，研制出的商品化甲醛净化器广受市场好评。</w:t>
      </w:r>
    </w:p>
    <w:p w14:paraId="0FDFDFAA">
      <w:pPr>
        <w:rPr>
          <w:rFonts w:ascii="仿宋" w:hAnsi="仿宋" w:eastAsia="仿宋" w:cs="仿宋"/>
          <w:b/>
          <w:bCs/>
          <w:sz w:val="24"/>
          <w:szCs w:val="24"/>
        </w:rPr>
      </w:pPr>
    </w:p>
    <w:p w14:paraId="1F851A2A">
      <w:pPr>
        <w:rPr>
          <w:rFonts w:ascii="仿宋" w:hAnsi="仿宋" w:eastAsia="仿宋" w:cs="仿宋"/>
          <w:b/>
          <w:bCs/>
          <w:sz w:val="24"/>
          <w:szCs w:val="24"/>
        </w:rPr>
      </w:pPr>
    </w:p>
    <w:p w14:paraId="10D47577">
      <w:pPr>
        <w:rPr>
          <w:rFonts w:ascii="仿宋" w:hAnsi="仿宋" w:eastAsia="仿宋" w:cs="仿宋"/>
          <w:b/>
          <w:bCs/>
          <w:sz w:val="24"/>
          <w:szCs w:val="24"/>
        </w:rPr>
      </w:pPr>
    </w:p>
    <w:p w14:paraId="38CD0B89">
      <w:pPr>
        <w:rPr>
          <w:rFonts w:ascii="仿宋" w:hAnsi="仿宋" w:eastAsia="仿宋" w:cs="仿宋"/>
          <w:b/>
          <w:bCs/>
          <w:sz w:val="24"/>
          <w:szCs w:val="24"/>
        </w:rPr>
      </w:pPr>
    </w:p>
    <w:p w14:paraId="45BDE5AB">
      <w:pPr>
        <w:rPr>
          <w:rFonts w:ascii="仿宋" w:hAnsi="仿宋" w:eastAsia="仿宋" w:cs="仿宋"/>
          <w:b/>
          <w:bCs/>
          <w:sz w:val="24"/>
          <w:szCs w:val="24"/>
        </w:rPr>
      </w:pPr>
    </w:p>
    <w:p w14:paraId="2499307D">
      <w:pPr>
        <w:adjustRightInd w:val="0"/>
        <w:snapToGrid w:val="0"/>
        <w:spacing w:line="460" w:lineRule="exact"/>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sz w:val="28"/>
          <w:szCs w:val="28"/>
        </w:rPr>
        <w:t>公示材料</w:t>
      </w:r>
      <w:r>
        <w:rPr>
          <w:rFonts w:hint="eastAsia" w:asciiTheme="majorEastAsia" w:hAnsiTheme="majorEastAsia" w:eastAsiaTheme="majorEastAsia" w:cstheme="majorEastAsia"/>
          <w:b/>
          <w:sz w:val="28"/>
          <w:szCs w:val="28"/>
          <w:lang w:val="en-US" w:eastAsia="zh-CN"/>
        </w:rPr>
        <w:t>2</w:t>
      </w:r>
      <w:r>
        <w:rPr>
          <w:rFonts w:hint="eastAsia" w:asciiTheme="majorEastAsia" w:hAnsiTheme="majorEastAsia" w:eastAsiaTheme="majorEastAsia" w:cstheme="majorEastAsia"/>
          <w:b/>
          <w:kern w:val="0"/>
          <w:sz w:val="28"/>
          <w:szCs w:val="28"/>
        </w:rPr>
        <w:t>：</w:t>
      </w:r>
    </w:p>
    <w:p w14:paraId="2127AE2C">
      <w:pPr>
        <w:rPr>
          <w:rFonts w:hint="eastAsia" w:ascii="仿宋" w:hAnsi="仿宋" w:eastAsia="仿宋" w:cs="仿宋"/>
          <w:b w:val="0"/>
          <w:bCs w:val="0"/>
          <w:sz w:val="24"/>
          <w:szCs w:val="24"/>
        </w:rPr>
      </w:pPr>
      <w:r>
        <w:rPr>
          <w:rFonts w:hint="eastAsia" w:ascii="仿宋" w:hAnsi="仿宋" w:eastAsia="仿宋" w:cs="仿宋"/>
          <w:b/>
          <w:bCs/>
          <w:sz w:val="24"/>
          <w:szCs w:val="24"/>
        </w:rPr>
        <w:t>申报类型:</w:t>
      </w:r>
      <w:r>
        <w:rPr>
          <w:rFonts w:hint="eastAsia" w:ascii="仿宋" w:hAnsi="仿宋" w:eastAsia="仿宋" w:cs="仿宋"/>
          <w:b w:val="0"/>
          <w:bCs w:val="0"/>
          <w:sz w:val="24"/>
          <w:szCs w:val="24"/>
        </w:rPr>
        <w:t>发明创业奖-创新奖</w:t>
      </w:r>
    </w:p>
    <w:p w14:paraId="0A518822">
      <w:pPr>
        <w:rPr>
          <w:rFonts w:hint="eastAsia" w:ascii="仿宋" w:hAnsi="仿宋" w:eastAsia="仿宋" w:cs="仿宋"/>
          <w:b w:val="0"/>
          <w:bCs w:val="0"/>
          <w:sz w:val="24"/>
          <w:szCs w:val="24"/>
        </w:rPr>
      </w:pPr>
      <w:r>
        <w:rPr>
          <w:rFonts w:hint="eastAsia" w:ascii="仿宋" w:hAnsi="仿宋" w:eastAsia="仿宋" w:cs="仿宋"/>
          <w:b/>
          <w:bCs/>
          <w:sz w:val="24"/>
          <w:szCs w:val="24"/>
        </w:rPr>
        <w:t>项目名称:</w:t>
      </w:r>
      <w:r>
        <w:rPr>
          <w:rFonts w:hint="eastAsia" w:ascii="仿宋" w:hAnsi="仿宋" w:eastAsia="仿宋" w:cs="仿宋"/>
          <w:b w:val="0"/>
          <w:bCs w:val="0"/>
          <w:sz w:val="24"/>
          <w:szCs w:val="24"/>
        </w:rPr>
        <w:t>变构型无人机设计的关键理论与应用</w:t>
      </w:r>
    </w:p>
    <w:p w14:paraId="120644C4">
      <w:pPr>
        <w:rPr>
          <w:rFonts w:hint="eastAsia" w:ascii="仿宋" w:hAnsi="仿宋" w:eastAsia="仿宋" w:cs="仿宋"/>
          <w:b w:val="0"/>
          <w:bCs w:val="0"/>
          <w:sz w:val="24"/>
          <w:szCs w:val="24"/>
        </w:rPr>
      </w:pPr>
      <w:r>
        <w:rPr>
          <w:rFonts w:hint="eastAsia" w:ascii="仿宋" w:hAnsi="仿宋" w:eastAsia="仿宋" w:cs="仿宋"/>
          <w:b/>
          <w:bCs/>
          <w:sz w:val="24"/>
          <w:szCs w:val="24"/>
        </w:rPr>
        <w:t>主要完成人：</w:t>
      </w:r>
      <w:r>
        <w:rPr>
          <w:rFonts w:hint="eastAsia" w:ascii="仿宋" w:hAnsi="仿宋" w:eastAsia="仿宋" w:cs="仿宋"/>
          <w:b w:val="0"/>
          <w:bCs w:val="0"/>
          <w:sz w:val="24"/>
          <w:szCs w:val="24"/>
        </w:rPr>
        <w:t>张家应、苏涛勇、王伟、王刚、黄可、吴柱寰</w:t>
      </w:r>
    </w:p>
    <w:p w14:paraId="47C3EC9D">
      <w:pPr>
        <w:rPr>
          <w:rFonts w:hint="eastAsia" w:ascii="仿宋" w:hAnsi="仿宋" w:eastAsia="仿宋" w:cs="仿宋"/>
          <w:b w:val="0"/>
          <w:bCs w:val="0"/>
          <w:sz w:val="24"/>
          <w:szCs w:val="24"/>
        </w:rPr>
      </w:pPr>
      <w:r>
        <w:rPr>
          <w:rFonts w:hint="eastAsia" w:ascii="仿宋" w:hAnsi="仿宋" w:eastAsia="仿宋" w:cs="仿宋"/>
          <w:b/>
          <w:bCs/>
          <w:sz w:val="24"/>
          <w:szCs w:val="24"/>
        </w:rPr>
        <w:t xml:space="preserve">完成单位: </w:t>
      </w:r>
      <w:r>
        <w:rPr>
          <w:rFonts w:hint="eastAsia" w:ascii="仿宋" w:hAnsi="仿宋" w:eastAsia="仿宋" w:cs="仿宋"/>
          <w:b w:val="0"/>
          <w:bCs w:val="0"/>
          <w:sz w:val="24"/>
          <w:szCs w:val="24"/>
        </w:rPr>
        <w:t>南昌航空大学、北京航空航天大学、蓝霄空天科技（北京）有限公司</w:t>
      </w:r>
    </w:p>
    <w:p w14:paraId="29704770">
      <w:pPr>
        <w:rPr>
          <w:rFonts w:hint="eastAsia" w:ascii="仿宋" w:hAnsi="仿宋" w:eastAsia="仿宋" w:cs="仿宋"/>
          <w:b/>
          <w:bCs/>
          <w:sz w:val="24"/>
          <w:szCs w:val="24"/>
        </w:rPr>
      </w:pPr>
      <w:r>
        <w:rPr>
          <w:rFonts w:hint="eastAsia" w:ascii="仿宋" w:hAnsi="仿宋" w:eastAsia="仿宋" w:cs="仿宋"/>
          <w:b/>
          <w:bCs/>
          <w:sz w:val="24"/>
          <w:szCs w:val="24"/>
        </w:rPr>
        <w:t>项目简介：</w:t>
      </w:r>
    </w:p>
    <w:p w14:paraId="04535BA8">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旋翼无人机因高效性和灵活性在国防建设、低空经济发展领域发挥重要作用，传统无人机系统已经无法满足复杂环境适应性的任务以及正在崛起的低空交通的需求，特别是在城市环境作业、海洋监测等特殊场景下，现有无人机系统普遍面临通过性差、噪声大、续航短等技术难题。本项目针对上述行业痛点问题，通过多学科交叉创新，研发了多旋翼无人机新构型设计和应用技术，项目技术内容涉及多个方面，包括可变构型多旋翼无人机的设计方法、干扰分析建模、旋翼噪声抑制、噪声场实时预测系统、侧翻保护控制、应急着陆策略以及多场景应用平台建设：</w:t>
      </w:r>
    </w:p>
    <w:p w14:paraId="6A24C476">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可变构型多旋翼无人机设计方法：设计了三级伸缩式导向套筒机构，通过精密加工的套筒嵌套结构与液压驱动系统的协同作用，实现了悬臂在3秒内完成90°折叠动作，使无人机最小通过尺寸缩减至标准构型的40%。配套开发的自适应控制算法采用模糊PID控制策略，实时监测机身姿态角与角速度变化，在构型变换过程中自动调节电机输出功率，确保飞行稳定性。该系统可使无人机在1.2倍机身宽度的狭窄通道内实现零碰撞穿越，较传统机型作业效率提升 60%。噪声控制领域，</w:t>
      </w:r>
    </w:p>
    <w:p w14:paraId="6301278F">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基于相位协同的主动降噪系统：该技术突破了传统被动降噪的技术局限，建立了旋翼噪声场的实时预测模型，通过布置在桨毂处的六轴振动传感器阵列，结合改进型快速傅里叶变换算法，可在20ms内完成噪声频谱特征提取。</w:t>
      </w:r>
    </w:p>
    <w:p w14:paraId="2B4931C7">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（3）提出了基于涡动力学的快速分析方法：该技术解决了旋翼气动干扰难题，突破了传统CFD方法的计算瓶颈，创新性地将离散涡方法与面元法耦合，建立了包含主旋翼-尾桨-机身相互作用的干扰分析模型。</w:t>
      </w:r>
    </w:p>
    <w:p w14:paraId="667126E0">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（4）无人机海洋采样技术：该技术集成了浊度、盐度、温度三参数在线检测模块，配合自主开发的路径规划算法，可实现全自动网格化采样作业。</w:t>
      </w:r>
    </w:p>
    <w:p w14:paraId="0616DAF8">
      <w:pPr>
        <w:adjustRightInd w:val="0"/>
        <w:snapToGrid w:val="0"/>
        <w:spacing w:line="460" w:lineRule="exact"/>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rPr>
        <w:t>公示材料</w:t>
      </w:r>
      <w:r>
        <w:rPr>
          <w:rFonts w:hint="eastAsia" w:asciiTheme="majorEastAsia" w:hAnsiTheme="majorEastAsia" w:eastAsiaTheme="majorEastAsia" w:cstheme="majorEastAsia"/>
          <w:b/>
          <w:sz w:val="28"/>
          <w:szCs w:val="28"/>
          <w:lang w:val="en-US" w:eastAsia="zh-CN"/>
        </w:rPr>
        <w:t>3</w:t>
      </w:r>
    </w:p>
    <w:p w14:paraId="2A25D2A5">
      <w:pPr>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项目名称：</w:t>
      </w:r>
      <w:r>
        <w:rPr>
          <w:rFonts w:hint="eastAsia" w:ascii="仿宋" w:hAnsi="仿宋" w:eastAsia="仿宋" w:cs="仿宋"/>
          <w:b w:val="0"/>
          <w:bCs w:val="0"/>
          <w:sz w:val="24"/>
          <w:szCs w:val="24"/>
          <w:lang w:val="en-US" w:eastAsia="zh-CN"/>
        </w:rPr>
        <w:t>生物炭材料的表面结构调控及环境污染治理应用</w:t>
      </w:r>
    </w:p>
    <w:p w14:paraId="47B40581">
      <w:pPr>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完成单位：</w:t>
      </w:r>
      <w:r>
        <w:rPr>
          <w:rFonts w:hint="eastAsia" w:ascii="仿宋" w:hAnsi="仿宋" w:eastAsia="仿宋" w:cs="仿宋"/>
          <w:b w:val="0"/>
          <w:bCs w:val="0"/>
          <w:sz w:val="24"/>
          <w:szCs w:val="24"/>
          <w:lang w:val="en-US" w:eastAsia="zh-CN"/>
        </w:rPr>
        <w:t>1 南昌航空大学2 盐城工学院3 江西省生态环境检测中心4 江西中医药大学</w:t>
      </w:r>
    </w:p>
    <w:p w14:paraId="18C201D6">
      <w:pPr>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主要完成人：</w:t>
      </w:r>
      <w:r>
        <w:rPr>
          <w:rFonts w:hint="eastAsia" w:ascii="仿宋" w:hAnsi="仿宋" w:eastAsia="仿宋" w:cs="仿宋"/>
          <w:b w:val="0"/>
          <w:bCs w:val="0"/>
          <w:sz w:val="24"/>
          <w:szCs w:val="24"/>
          <w:lang w:val="en-US" w:eastAsia="zh-CN"/>
        </w:rPr>
        <w:t>罗一丹，罗驹华，何文，姜凌霄，曾德栋，谢婵</w:t>
      </w:r>
    </w:p>
    <w:p w14:paraId="717F15D5">
      <w:pPr>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提 名 者：</w:t>
      </w:r>
      <w:r>
        <w:rPr>
          <w:rFonts w:hint="eastAsia" w:ascii="仿宋" w:hAnsi="仿宋" w:eastAsia="仿宋" w:cs="仿宋"/>
          <w:b w:val="0"/>
          <w:bCs w:val="0"/>
          <w:sz w:val="24"/>
          <w:szCs w:val="24"/>
          <w:lang w:val="en-US" w:eastAsia="zh-CN"/>
        </w:rPr>
        <w:t>南昌航空大学</w:t>
      </w:r>
    </w:p>
    <w:p w14:paraId="287EB83F">
      <w:pPr>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推荐奖种：</w:t>
      </w:r>
      <w:r>
        <w:rPr>
          <w:rFonts w:hint="eastAsia" w:ascii="仿宋" w:hAnsi="仿宋" w:eastAsia="仿宋" w:cs="仿宋"/>
          <w:b w:val="0"/>
          <w:bCs w:val="0"/>
          <w:sz w:val="24"/>
          <w:szCs w:val="24"/>
          <w:lang w:val="en-US" w:eastAsia="zh-CN"/>
        </w:rPr>
        <w:t>发明创业奖创新</w:t>
      </w:r>
      <w:r>
        <w:rPr>
          <w:rFonts w:hint="default" w:ascii="仿宋" w:hAnsi="仿宋" w:eastAsia="仿宋" w:cs="仿宋"/>
          <w:b w:val="0"/>
          <w:bCs w:val="0"/>
          <w:sz w:val="24"/>
          <w:szCs w:val="24"/>
          <w:lang w:val="en-US" w:eastAsia="zh-CN"/>
        </w:rPr>
        <w:t>奖</w:t>
      </w:r>
    </w:p>
    <w:p w14:paraId="1B62258E">
      <w:pPr>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提名意见：</w:t>
      </w:r>
      <w:r>
        <w:rPr>
          <w:rFonts w:hint="eastAsia" w:ascii="仿宋" w:hAnsi="仿宋" w:eastAsia="仿宋" w:cs="仿宋"/>
          <w:b w:val="0"/>
          <w:bCs w:val="0"/>
          <w:sz w:val="24"/>
          <w:szCs w:val="24"/>
          <w:lang w:val="en-US" w:eastAsia="zh-CN"/>
        </w:rPr>
        <w:t>提名推荐该项目申报2025年度发明创业奖创新</w:t>
      </w:r>
      <w:r>
        <w:rPr>
          <w:rFonts w:hint="default" w:ascii="仿宋" w:hAnsi="仿宋" w:eastAsia="仿宋" w:cs="仿宋"/>
          <w:b w:val="0"/>
          <w:bCs w:val="0"/>
          <w:sz w:val="24"/>
          <w:szCs w:val="24"/>
          <w:lang w:val="en-US" w:eastAsia="zh-CN"/>
        </w:rPr>
        <w:t>奖</w:t>
      </w:r>
    </w:p>
    <w:p w14:paraId="2428497D">
      <w:pPr>
        <w:rPr>
          <w:rFonts w:hint="eastAsia" w:ascii="仿宋" w:hAnsi="仿宋" w:eastAsia="仿宋" w:cs="仿宋"/>
          <w:b/>
          <w:bCs/>
          <w:sz w:val="24"/>
          <w:szCs w:val="24"/>
          <w:lang w:val="en-US" w:eastAsia="zh-CN"/>
        </w:rPr>
      </w:pPr>
      <w:bookmarkStart w:id="0" w:name="_GoBack"/>
      <w:r>
        <w:rPr>
          <w:rFonts w:hint="eastAsia" w:ascii="仿宋" w:hAnsi="仿宋" w:eastAsia="仿宋" w:cs="仿宋"/>
          <w:b/>
          <w:bCs/>
          <w:sz w:val="24"/>
          <w:szCs w:val="24"/>
          <w:lang w:val="en-US" w:eastAsia="zh-CN"/>
        </w:rPr>
        <w:t>项目简介：</w:t>
      </w:r>
    </w:p>
    <w:bookmarkEnd w:id="0"/>
    <w:p w14:paraId="151FF6AC">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聚焦于环境功能材料领域，致力于攻克生物炭材料相关关键技术难题，为环境保护与资源可持续利用提供创新解决方案。本项目立足生物炭材料应用需求，攻克关键技术，对于全面提升我国生物炭材料应用水平，推动环境功能材料领域发展，实现环境保护目标具有极其重要的意义。主要创新点体现在：</w:t>
      </w:r>
    </w:p>
    <w:p w14:paraId="6311C3F0">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设计了生物炭表面微观结构优化新技术：提出了通过对生物炭材料进行表面改性，制备兼具高比表面积和多含氧官能团的生物炭材料。该材料突破了多种环境条件限制，显著提高了污染物去除性能，为生物炭材料性能提升提供了新途径。</w:t>
      </w:r>
    </w:p>
    <w:p w14:paraId="4A0C3B5F">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设计了生物炭复合材料可控制备方法。创新生物炭和半导体复合材料的制备方法，实现简单、便捷、低成本制备。这一突破解决了高可靠性、可循环使用污染物去除生物炭材料的制备难题，推动了生物炭复合材料的产业化应用进程。</w:t>
      </w:r>
    </w:p>
    <w:p w14:paraId="49977AB8">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理论创新与机理研究创新。提出基于生物炭和半导体复合材料的界面电场和能带理论，深入研究异质结形成过程，分析电子空穴分离规律，明晰生物炭复合材料污染物去除机理。该理论创新为生物炭材料的进一步优化和应用提供了坚实的理论基础。</w:t>
      </w:r>
    </w:p>
    <w:p w14:paraId="3156C06E">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相关技术已获授权发明专利6件，另有多项专利处于审查阶段。开发的产品已广泛应用于多个知名企业。近3年实现直接营收超过3亿元，实现新增利润超过1亿元。</w:t>
      </w:r>
    </w:p>
    <w:p w14:paraId="1364784F">
      <w:pPr>
        <w:adjustRightInd w:val="0"/>
        <w:snapToGrid w:val="0"/>
        <w:spacing w:line="460" w:lineRule="exact"/>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w:t>
      </w:r>
    </w:p>
    <w:p w14:paraId="4973A8EA">
      <w:pPr>
        <w:rPr>
          <w:rFonts w:hint="eastAsia" w:ascii="仿宋" w:hAnsi="仿宋" w:eastAsia="仿宋" w:cs="仿宋"/>
          <w:b w:val="0"/>
          <w:bCs w:val="0"/>
          <w:sz w:val="24"/>
          <w:szCs w:val="24"/>
        </w:rPr>
      </w:pPr>
    </w:p>
    <w:p w14:paraId="2EA02471">
      <w:pPr>
        <w:rPr>
          <w:rFonts w:hint="eastAsia" w:ascii="仿宋" w:hAnsi="仿宋" w:eastAsia="仿宋" w:cs="仿宋"/>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Njk2MjBiYmIwZmJmN2FiZDUxYWY2YTU0ZDE5ZTAifQ=="/>
  </w:docVars>
  <w:rsids>
    <w:rsidRoot w:val="00D24D7F"/>
    <w:rsid w:val="000D0B2B"/>
    <w:rsid w:val="00213F71"/>
    <w:rsid w:val="002D08BB"/>
    <w:rsid w:val="00422F33"/>
    <w:rsid w:val="00444CC5"/>
    <w:rsid w:val="004E3846"/>
    <w:rsid w:val="004F1A51"/>
    <w:rsid w:val="00524358"/>
    <w:rsid w:val="00537B6B"/>
    <w:rsid w:val="008D389E"/>
    <w:rsid w:val="00AC2871"/>
    <w:rsid w:val="00B16FDD"/>
    <w:rsid w:val="00B42EF7"/>
    <w:rsid w:val="00B95D83"/>
    <w:rsid w:val="00BA1F1F"/>
    <w:rsid w:val="00BC6CAB"/>
    <w:rsid w:val="00D24D7F"/>
    <w:rsid w:val="00D364E2"/>
    <w:rsid w:val="00D65986"/>
    <w:rsid w:val="115969FF"/>
    <w:rsid w:val="1E5C639B"/>
    <w:rsid w:val="33FC36F2"/>
    <w:rsid w:val="397174F3"/>
    <w:rsid w:val="43E646FB"/>
    <w:rsid w:val="4D06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1901</Words>
  <Characters>1934</Characters>
  <Lines>7</Lines>
  <Paragraphs>2</Paragraphs>
  <TotalTime>1</TotalTime>
  <ScaleCrop>false</ScaleCrop>
  <LinksUpToDate>false</LinksUpToDate>
  <CharactersWithSpaces>1936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2024-06-11T03:28:00Z</dcterms:created>
  <dc:creator>Zhang Jie</dc:creator>
  <cp:lastModifiedBy>榴芒小丸子</cp:lastModifiedBy>
  <dcterms:modified xsi:type="dcterms:W3CDTF">2025-05-23T02:46:18Z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2E3F523577594149815602106273D2C7_13</vt:lpwstr>
  </property>
  <property fmtid="{D5CDD505-2E9C-101B-9397-08002B2CF9AE}" pid="4" name="KSOTemplateDocerSaveRecord">
    <vt:lpwstr>eyJoZGlkIjoiYzhlNjk2MjBiYmIwZmJmN2FiZDUxYWY2YTU0ZDE5ZTAiLCJ1c2VySWQiOiI0MjI4MzMwNDkifQ==</vt:lpwstr>
  </property>
</Properties>
</file>